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81A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黑体" w:hAnsi="黑体" w:eastAsia="黑体" w:cs="黑体"/>
          <w:highlight w:val="none"/>
          <w:lang w:val="en-US" w:eastAsia="zh-CN"/>
        </w:rPr>
      </w:pPr>
      <w:bookmarkStart w:id="0" w:name="_GoBack"/>
      <w:bookmarkEnd w:id="0"/>
      <w:r>
        <w:rPr>
          <w:rFonts w:hint="eastAsia" w:ascii="黑体" w:hAnsi="黑体" w:eastAsia="黑体" w:cs="黑体"/>
          <w:highlight w:val="none"/>
          <w:lang w:val="en-US" w:eastAsia="zh-CN"/>
        </w:rPr>
        <w:t>附件一</w:t>
      </w:r>
    </w:p>
    <w:p w14:paraId="589D1B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ascii="黑体" w:hAnsi="黑体" w:eastAsia="黑体" w:cs="黑体"/>
          <w:highlight w:val="none"/>
        </w:rPr>
      </w:pPr>
      <w:r>
        <w:rPr>
          <w:rFonts w:hint="eastAsia" w:ascii="黑体" w:hAnsi="黑体" w:eastAsia="黑体" w:cs="黑体"/>
          <w:highlight w:val="none"/>
        </w:rPr>
        <w:t>采购</w:t>
      </w:r>
      <w:r>
        <w:rPr>
          <w:rFonts w:hint="eastAsia" w:ascii="黑体" w:hAnsi="黑体" w:eastAsia="黑体" w:cs="黑体"/>
          <w:highlight w:val="none"/>
          <w:lang w:val="en-US" w:eastAsia="zh-CN"/>
        </w:rPr>
        <w:t>设备清单</w:t>
      </w:r>
    </w:p>
    <w:tbl>
      <w:tblPr>
        <w:tblStyle w:val="15"/>
        <w:tblW w:w="9659"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31"/>
        <w:gridCol w:w="1253"/>
        <w:gridCol w:w="7975"/>
      </w:tblGrid>
      <w:tr w14:paraId="7AE6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1" w:hRule="atLeast"/>
        </w:trPr>
        <w:tc>
          <w:tcPr>
            <w:tcW w:w="452" w:type="dxa"/>
            <w:shd w:val="clear" w:color="auto" w:fill="auto"/>
            <w:vAlign w:val="center"/>
          </w:tcPr>
          <w:p w14:paraId="2D6259D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b/>
                <w:bCs/>
                <w:color w:val="000000"/>
                <w:kern w:val="0"/>
                <w:sz w:val="21"/>
                <w:szCs w:val="21"/>
                <w:highlight w:val="none"/>
              </w:rPr>
            </w:pPr>
            <w:r>
              <w:rPr>
                <w:rFonts w:hint="default" w:ascii="Times New Roman" w:hAnsi="Times New Roman" w:eastAsia="仿宋_GB2312" w:cs="Times New Roman"/>
                <w:b/>
                <w:bCs/>
                <w:color w:val="000000"/>
                <w:kern w:val="0"/>
                <w:sz w:val="21"/>
                <w:szCs w:val="21"/>
                <w:highlight w:val="none"/>
              </w:rPr>
              <w:t>序号</w:t>
            </w:r>
          </w:p>
        </w:tc>
        <w:tc>
          <w:tcPr>
            <w:tcW w:w="1253" w:type="dxa"/>
            <w:shd w:val="clear" w:color="auto" w:fill="auto"/>
            <w:vAlign w:val="center"/>
          </w:tcPr>
          <w:p w14:paraId="085F789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b/>
                <w:bCs/>
                <w:color w:val="000000"/>
                <w:kern w:val="0"/>
                <w:sz w:val="21"/>
                <w:szCs w:val="21"/>
                <w:highlight w:val="none"/>
              </w:rPr>
            </w:pPr>
            <w:r>
              <w:rPr>
                <w:rFonts w:hint="default" w:ascii="Times New Roman" w:hAnsi="Times New Roman" w:eastAsia="仿宋_GB2312" w:cs="Times New Roman"/>
                <w:b/>
                <w:bCs/>
                <w:color w:val="000000"/>
                <w:kern w:val="0"/>
                <w:sz w:val="21"/>
                <w:szCs w:val="21"/>
                <w:highlight w:val="none"/>
              </w:rPr>
              <w:t>名称</w:t>
            </w:r>
          </w:p>
        </w:tc>
        <w:tc>
          <w:tcPr>
            <w:tcW w:w="7954" w:type="dxa"/>
            <w:shd w:val="clear" w:color="auto" w:fill="auto"/>
            <w:vAlign w:val="center"/>
          </w:tcPr>
          <w:p w14:paraId="64A911A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b/>
                <w:bCs/>
                <w:color w:val="000000"/>
                <w:kern w:val="0"/>
                <w:sz w:val="21"/>
                <w:szCs w:val="21"/>
                <w:highlight w:val="none"/>
              </w:rPr>
            </w:pPr>
            <w:r>
              <w:rPr>
                <w:rFonts w:hint="default" w:ascii="Times New Roman" w:hAnsi="Times New Roman" w:eastAsia="仿宋_GB2312" w:cs="Times New Roman"/>
                <w:b/>
                <w:bCs/>
                <w:color w:val="000000"/>
                <w:kern w:val="0"/>
                <w:sz w:val="21"/>
                <w:szCs w:val="21"/>
                <w:highlight w:val="none"/>
              </w:rPr>
              <w:t>参数</w:t>
            </w:r>
          </w:p>
        </w:tc>
      </w:tr>
      <w:tr w14:paraId="0294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52" w:type="dxa"/>
            <w:shd w:val="clear" w:color="auto" w:fill="auto"/>
            <w:vAlign w:val="center"/>
          </w:tcPr>
          <w:p w14:paraId="09038C9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rPr>
              <w:t>1</w:t>
            </w:r>
          </w:p>
        </w:tc>
        <w:tc>
          <w:tcPr>
            <w:tcW w:w="1253" w:type="dxa"/>
            <w:shd w:val="clear" w:color="auto" w:fill="auto"/>
            <w:vAlign w:val="center"/>
          </w:tcPr>
          <w:p w14:paraId="19C27408">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北斗传输设备</w:t>
            </w:r>
          </w:p>
        </w:tc>
        <w:tc>
          <w:tcPr>
            <w:tcW w:w="7954" w:type="dxa"/>
            <w:shd w:val="clear" w:color="auto" w:fill="auto"/>
            <w:vAlign w:val="center"/>
          </w:tcPr>
          <w:p w14:paraId="09778D44">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支持北斗三号短报文通信，报文长度≥1000汉字/次，含5年通信费用，能够与防汛大脑智慧平台数据互通。</w:t>
            </w:r>
          </w:p>
        </w:tc>
      </w:tr>
      <w:tr w14:paraId="4959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trPr>
        <w:tc>
          <w:tcPr>
            <w:tcW w:w="452" w:type="dxa"/>
            <w:shd w:val="clear" w:color="auto" w:fill="auto"/>
            <w:vAlign w:val="center"/>
          </w:tcPr>
          <w:p w14:paraId="1DAAB35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rPr>
              <w:t>2</w:t>
            </w:r>
          </w:p>
        </w:tc>
        <w:tc>
          <w:tcPr>
            <w:tcW w:w="1253" w:type="dxa"/>
            <w:shd w:val="clear" w:color="auto" w:fill="auto"/>
            <w:vAlign w:val="center"/>
          </w:tcPr>
          <w:p w14:paraId="5EB846F7">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北斗卫星终端</w:t>
            </w:r>
          </w:p>
        </w:tc>
        <w:tc>
          <w:tcPr>
            <w:tcW w:w="7954" w:type="dxa"/>
            <w:shd w:val="clear" w:color="auto" w:fill="auto"/>
            <w:vAlign w:val="center"/>
          </w:tcPr>
          <w:p w14:paraId="63B384A8">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北斗入网许可证:取得中国信息通信研究院北斗三号RDSS终端入网备案、入网许可编号；必须支持北斗三号区域短报文通信服务，卫星接收通道数不少于40通道</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必须支持北斗三号区域短报文通信服务，卫星接收北斗卫通道数不少于40通道套</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标准AC220V市电输入；兼容DC12-32V直流后备蓄电池供电</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待机静态功耗:≤10-15W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后备供电:可外接UPS不间断电源。</w:t>
            </w:r>
          </w:p>
        </w:tc>
      </w:tr>
      <w:tr w14:paraId="5356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52" w:type="dxa"/>
            <w:shd w:val="clear" w:color="auto" w:fill="auto"/>
            <w:vAlign w:val="center"/>
          </w:tcPr>
          <w:p w14:paraId="184921E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rPr>
              <w:t>3</w:t>
            </w:r>
          </w:p>
        </w:tc>
        <w:tc>
          <w:tcPr>
            <w:tcW w:w="1253" w:type="dxa"/>
            <w:shd w:val="clear" w:color="auto" w:fill="auto"/>
            <w:vAlign w:val="center"/>
          </w:tcPr>
          <w:p w14:paraId="6FF6E8BB">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4G/5Gsim卡</w:t>
            </w:r>
          </w:p>
        </w:tc>
        <w:tc>
          <w:tcPr>
            <w:tcW w:w="7954" w:type="dxa"/>
            <w:shd w:val="clear" w:color="auto" w:fill="auto"/>
            <w:vAlign w:val="center"/>
          </w:tcPr>
          <w:p w14:paraId="083B1D26">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含5年通信费用，能够与防汛大脑智慧平台数据互通。</w:t>
            </w:r>
          </w:p>
        </w:tc>
      </w:tr>
      <w:tr w14:paraId="0564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52" w:type="dxa"/>
            <w:shd w:val="clear" w:color="auto" w:fill="auto"/>
            <w:vAlign w:val="center"/>
          </w:tcPr>
          <w:p w14:paraId="67ED685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4</w:t>
            </w:r>
          </w:p>
        </w:tc>
        <w:tc>
          <w:tcPr>
            <w:tcW w:w="1253" w:type="dxa"/>
            <w:shd w:val="clear" w:color="auto" w:fill="auto"/>
            <w:vAlign w:val="center"/>
          </w:tcPr>
          <w:p w14:paraId="14E5DC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vertAlign w:val="baseline"/>
                <w:lang w:val="en-US" w:eastAsia="zh-CN"/>
              </w:rPr>
              <w:t>服务器</w:t>
            </w:r>
          </w:p>
        </w:tc>
        <w:tc>
          <w:tcPr>
            <w:tcW w:w="7954" w:type="dxa"/>
            <w:shd w:val="clear" w:color="auto" w:fill="auto"/>
            <w:vAlign w:val="center"/>
          </w:tcPr>
          <w:p w14:paraId="5A1CE91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vertAlign w:val="baseline"/>
              </w:rPr>
              <w:t>提供基础算力底座，支持X86/信创多架构处理器，可承载模型训练推理、实时数据计算、三维场景渲染及业务应用部署；采用全冗余硬件架构保障高可靠运行，支持GPU/PCIe灵活扩展，兼容主流虚拟化与操作系统，满足算力承载需求</w:t>
            </w:r>
            <w:r>
              <w:rPr>
                <w:rFonts w:hint="default" w:ascii="Times New Roman" w:hAnsi="Times New Roman" w:eastAsia="仿宋_GB2312" w:cs="Times New Roman"/>
                <w:color w:val="auto"/>
                <w:sz w:val="21"/>
                <w:szCs w:val="21"/>
                <w:highlight w:val="none"/>
                <w:vertAlign w:val="baseline"/>
                <w:lang w:eastAsia="zh-CN"/>
              </w:rPr>
              <w:t>。</w:t>
            </w:r>
          </w:p>
        </w:tc>
      </w:tr>
      <w:tr w14:paraId="4F5F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52" w:type="dxa"/>
            <w:shd w:val="clear" w:color="auto" w:fill="auto"/>
            <w:vAlign w:val="center"/>
          </w:tcPr>
          <w:p w14:paraId="259A42E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5</w:t>
            </w:r>
          </w:p>
        </w:tc>
        <w:tc>
          <w:tcPr>
            <w:tcW w:w="1253" w:type="dxa"/>
            <w:shd w:val="clear" w:color="auto" w:fill="auto"/>
            <w:vAlign w:val="center"/>
          </w:tcPr>
          <w:p w14:paraId="66C6DE53">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GNSS监测站</w:t>
            </w:r>
          </w:p>
        </w:tc>
        <w:tc>
          <w:tcPr>
            <w:tcW w:w="7954" w:type="dxa"/>
            <w:shd w:val="clear" w:color="auto" w:fill="auto"/>
            <w:vAlign w:val="center"/>
          </w:tcPr>
          <w:p w14:paraId="6959640A">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卫星系统:三星六频及以上；卫星载波GPS:L1+L2 GLONASS:L1+L2北斗B1+B2 GALILE0:E1/E5b;静态精度:平面土(2.5mm+1ppm),垂直±(5mm+1ppm);工作温度-40℃~80℃;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防护等级:IP67;低功耗，含混凝土结构(C20F250)基座及预埋地笼(含螺母、垫片)、防雷接地，具体尺寸及埋件需根据施工单位采购的设备规格尺寸确定。 </w:t>
            </w:r>
          </w:p>
        </w:tc>
      </w:tr>
      <w:tr w14:paraId="7663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452" w:type="dxa"/>
            <w:shd w:val="clear" w:color="auto" w:fill="auto"/>
            <w:vAlign w:val="center"/>
          </w:tcPr>
          <w:p w14:paraId="614ABF2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kern w:val="0"/>
                <w:sz w:val="21"/>
                <w:szCs w:val="21"/>
                <w:highlight w:val="none"/>
                <w:lang w:val="en-US" w:eastAsia="zh-CN" w:bidi="ar-SA"/>
              </w:rPr>
            </w:pPr>
            <w:r>
              <w:rPr>
                <w:rFonts w:hint="default" w:ascii="Times New Roman" w:hAnsi="Times New Roman" w:eastAsia="仿宋_GB2312" w:cs="Times New Roman"/>
                <w:kern w:val="0"/>
                <w:sz w:val="21"/>
                <w:szCs w:val="21"/>
                <w:highlight w:val="none"/>
                <w:lang w:val="en-US" w:eastAsia="zh-CN"/>
              </w:rPr>
              <w:t>6</w:t>
            </w:r>
          </w:p>
        </w:tc>
        <w:tc>
          <w:tcPr>
            <w:tcW w:w="1253" w:type="dxa"/>
            <w:shd w:val="clear" w:color="auto" w:fill="auto"/>
            <w:vAlign w:val="center"/>
          </w:tcPr>
          <w:p w14:paraId="6CCA4A27">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GNSS基准站</w:t>
            </w:r>
          </w:p>
        </w:tc>
        <w:tc>
          <w:tcPr>
            <w:tcW w:w="7954" w:type="dxa"/>
            <w:shd w:val="clear" w:color="auto" w:fill="auto"/>
            <w:vAlign w:val="center"/>
          </w:tcPr>
          <w:p w14:paraId="4D294828">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卫星系统:三星六频及以上；卫星载波GPS:L1+L2 GLONASS:L1+L2 北斗B1+B2 GALILE0:E1/E5b;静态精度:平面土(2.5mm+1ppm),垂直±(5mm+1ppm);工作温度-40℃~80℃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防护等级:IP67,低功耗，含混凝土结构(C20F250)基座及预埋地笼(含螺母、垫片)、防雷接地，具体尺寸及埋件需根据施工单位采购的设备规格尺寸确定。</w:t>
            </w:r>
          </w:p>
        </w:tc>
      </w:tr>
      <w:tr w14:paraId="3F4C7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0" w:type="auto"/>
            <w:shd w:val="clear" w:color="auto" w:fill="auto"/>
            <w:vAlign w:val="center"/>
          </w:tcPr>
          <w:p w14:paraId="49E9439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kern w:val="0"/>
                <w:sz w:val="21"/>
                <w:szCs w:val="21"/>
                <w:highlight w:val="none"/>
                <w:lang w:val="en-US" w:eastAsia="zh-CN" w:bidi="ar-SA"/>
              </w:rPr>
            </w:pPr>
            <w:r>
              <w:rPr>
                <w:rFonts w:hint="default" w:ascii="Times New Roman" w:hAnsi="Times New Roman" w:eastAsia="仿宋_GB2312" w:cs="Times New Roman"/>
                <w:kern w:val="0"/>
                <w:sz w:val="21"/>
                <w:szCs w:val="21"/>
                <w:highlight w:val="none"/>
                <w:lang w:val="en-US" w:eastAsia="zh-CN"/>
              </w:rPr>
              <w:t>7</w:t>
            </w:r>
          </w:p>
        </w:tc>
        <w:tc>
          <w:tcPr>
            <w:tcW w:w="1253" w:type="dxa"/>
            <w:shd w:val="clear" w:color="auto" w:fill="auto"/>
            <w:vAlign w:val="center"/>
          </w:tcPr>
          <w:p w14:paraId="00BA64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vertAlign w:val="baseline"/>
                <w:lang w:val="en-US" w:eastAsia="zh-CN"/>
              </w:rPr>
              <w:t>虚拟化/超融合服务器</w:t>
            </w:r>
          </w:p>
        </w:tc>
        <w:tc>
          <w:tcPr>
            <w:tcW w:w="7954" w:type="dxa"/>
            <w:shd w:val="clear" w:color="auto" w:fill="auto"/>
            <w:vAlign w:val="center"/>
          </w:tcPr>
          <w:p w14:paraId="2C94A24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vertAlign w:val="baseline"/>
              </w:rPr>
              <w:t>集成计算、存储、网络、安全全栈虚拟化能力；支持虚拟机全生命周期管理、热迁移与高可用集群，内置分布式虚拟网络与安全防护，可灵活构建多租户资源池；支持存算融合/分离多种部署模式与平滑扩容，实现快速交付与资源弹性调度</w:t>
            </w:r>
            <w:r>
              <w:rPr>
                <w:rFonts w:hint="default" w:ascii="Times New Roman" w:hAnsi="Times New Roman" w:eastAsia="仿宋_GB2312" w:cs="Times New Roman"/>
                <w:color w:val="auto"/>
                <w:sz w:val="21"/>
                <w:szCs w:val="21"/>
                <w:highlight w:val="none"/>
                <w:vertAlign w:val="baseline"/>
                <w:lang w:eastAsia="zh-CN"/>
              </w:rPr>
              <w:t>。</w:t>
            </w:r>
          </w:p>
        </w:tc>
      </w:tr>
      <w:tr w14:paraId="69066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520A0FC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8</w:t>
            </w:r>
          </w:p>
        </w:tc>
        <w:tc>
          <w:tcPr>
            <w:tcW w:w="0" w:type="auto"/>
            <w:shd w:val="clear" w:color="auto" w:fill="auto"/>
            <w:vAlign w:val="center"/>
          </w:tcPr>
          <w:p w14:paraId="4E6EC4B2">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浮子式水位计</w:t>
            </w:r>
          </w:p>
        </w:tc>
        <w:tc>
          <w:tcPr>
            <w:tcW w:w="0" w:type="auto"/>
            <w:shd w:val="clear" w:color="auto" w:fill="auto"/>
            <w:vAlign w:val="center"/>
          </w:tcPr>
          <w:p w14:paraId="3B89F270">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水位变幅:10m、20m、30m、40m(各站根据需要选用)；误差:±1cm(10m变幅)；分辨率:1cm;数据采集准确率:99.99%;存储容量:&gt;32M; 接口:RS232或RS485接口；波特率:1200、2400、4800、9600波特任选；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水温、湿度:水温0~40℃,环境温度-40C~+45℃; 湿度:95%H;MTBF&gt;10年。 </w:t>
            </w:r>
          </w:p>
        </w:tc>
      </w:tr>
      <w:tr w14:paraId="46DA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066EC4D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9</w:t>
            </w:r>
          </w:p>
        </w:tc>
        <w:tc>
          <w:tcPr>
            <w:tcW w:w="0" w:type="auto"/>
            <w:shd w:val="clear" w:color="auto" w:fill="auto"/>
            <w:vAlign w:val="center"/>
          </w:tcPr>
          <w:p w14:paraId="6B466A10">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气泡水位计</w:t>
            </w:r>
          </w:p>
        </w:tc>
        <w:tc>
          <w:tcPr>
            <w:tcW w:w="0" w:type="auto"/>
            <w:shd w:val="clear" w:color="auto" w:fill="auto"/>
            <w:vAlign w:val="center"/>
          </w:tcPr>
          <w:p w14:paraId="7256CA2E">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(1)测量量程:0~20米</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(2)测量精度:士0.1%F.S.</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(3)输出信号:RS485或4-20mA</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(4)供电电压:DC12-24v</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(5)防护等级:IP68</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(6)其他:需配置气泵、气管及干燥瓶，适用于有固定安装位置和稳定气源的静水区域</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(7)配套保护管:材质为镀锌钢管，直径50mm，气容探头应固定在最低水位线下0.5米，探头不能随水流和浪涌产生颤动。人工水位比对校准，调试完成后水位测量误差满足项目技术指标。</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(8)配重不锈钢保护罩、地笼、配重块及安装支架。</w:t>
            </w:r>
          </w:p>
        </w:tc>
      </w:tr>
      <w:tr w14:paraId="5335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24510F2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10</w:t>
            </w:r>
          </w:p>
        </w:tc>
        <w:tc>
          <w:tcPr>
            <w:tcW w:w="0" w:type="auto"/>
            <w:shd w:val="clear" w:color="auto" w:fill="auto"/>
            <w:vAlign w:val="center"/>
          </w:tcPr>
          <w:p w14:paraId="36C16B6A">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通信模块</w:t>
            </w:r>
          </w:p>
        </w:tc>
        <w:tc>
          <w:tcPr>
            <w:tcW w:w="0" w:type="auto"/>
            <w:shd w:val="clear" w:color="auto" w:fill="auto"/>
            <w:vAlign w:val="center"/>
          </w:tcPr>
          <w:p w14:paraId="0E7DC913">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双频GSM/GPRS/CDMA调制解调器(EGSM900/1800MHz或EGSM900/1900MHz); 输入电压:5V~36V;温度范围:-30℃~+70℃ 工作状态，-40℃~+85℃保存状态；天线接口:SMA-K(阴头)/50欧姆；滑入式SIM卡储存器</w:t>
            </w:r>
            <w:r>
              <w:rPr>
                <w:rFonts w:hint="eastAsia" w:ascii="Times New Roman" w:hAnsi="Times New Roman" w:eastAsia="仿宋_GB2312" w:cs="Times New Roman"/>
                <w:i w:val="0"/>
                <w:iCs w:val="0"/>
                <w:color w:val="000000"/>
                <w:kern w:val="0"/>
                <w:sz w:val="21"/>
                <w:szCs w:val="21"/>
                <w:highlight w:val="none"/>
                <w:u w:val="none"/>
                <w:lang w:val="en-US" w:eastAsia="zh-CN" w:bidi="ar"/>
              </w:rPr>
              <w:t>。</w:t>
            </w:r>
          </w:p>
        </w:tc>
      </w:tr>
      <w:tr w14:paraId="2243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04" w:hRule="atLeast"/>
        </w:trPr>
        <w:tc>
          <w:tcPr>
            <w:tcW w:w="0" w:type="auto"/>
            <w:shd w:val="clear" w:color="auto" w:fill="auto"/>
            <w:vAlign w:val="center"/>
          </w:tcPr>
          <w:p w14:paraId="7F83CC0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11</w:t>
            </w:r>
          </w:p>
        </w:tc>
        <w:tc>
          <w:tcPr>
            <w:tcW w:w="0" w:type="auto"/>
            <w:shd w:val="clear" w:color="auto" w:fill="auto"/>
            <w:vAlign w:val="center"/>
          </w:tcPr>
          <w:p w14:paraId="4E6A4184">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LC-P1265蓄电池</w:t>
            </w:r>
          </w:p>
        </w:tc>
        <w:tc>
          <w:tcPr>
            <w:tcW w:w="0" w:type="auto"/>
            <w:shd w:val="clear" w:color="auto" w:fill="auto"/>
            <w:vAlign w:val="center"/>
          </w:tcPr>
          <w:p w14:paraId="6DF7078C">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额定电压:DC12V;电池容量:65AH;充电限制电压:14.7V;工作温度:-25℃~55℃;防护等级:IP68。</w:t>
            </w:r>
          </w:p>
        </w:tc>
      </w:tr>
      <w:tr w14:paraId="44A6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5B5D479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12</w:t>
            </w:r>
          </w:p>
        </w:tc>
        <w:tc>
          <w:tcPr>
            <w:tcW w:w="0" w:type="auto"/>
            <w:shd w:val="clear" w:color="auto" w:fill="auto"/>
            <w:vAlign w:val="center"/>
          </w:tcPr>
          <w:p w14:paraId="7D3856C7">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太阳能板</w:t>
            </w:r>
          </w:p>
        </w:tc>
        <w:tc>
          <w:tcPr>
            <w:tcW w:w="0" w:type="auto"/>
            <w:shd w:val="clear" w:color="auto" w:fill="auto"/>
            <w:vAlign w:val="center"/>
          </w:tcPr>
          <w:p w14:paraId="0D3A8D15">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标称功率:40Wp(W);最佳工作电压:17.5</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(VMPP);最佳工作电流:0.75(IMPP);短路电流:0.81(IMPP);开路电压:21.4 (VOC);绝缘强度:100M;耐压: AC500V,DC500V;抗风强度:60m/s;类型: 单晶硅准方片型。</w:t>
            </w:r>
          </w:p>
        </w:tc>
      </w:tr>
      <w:tr w14:paraId="1F5F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4EB383C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13</w:t>
            </w:r>
          </w:p>
        </w:tc>
        <w:tc>
          <w:tcPr>
            <w:tcW w:w="0" w:type="auto"/>
            <w:shd w:val="clear" w:color="auto" w:fill="auto"/>
            <w:vAlign w:val="center"/>
          </w:tcPr>
          <w:p w14:paraId="2EBFED1F">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数传仪</w:t>
            </w:r>
          </w:p>
        </w:tc>
        <w:tc>
          <w:tcPr>
            <w:tcW w:w="0" w:type="auto"/>
            <w:shd w:val="clear" w:color="auto" w:fill="auto"/>
            <w:vAlign w:val="center"/>
          </w:tcPr>
          <w:p w14:paraId="0E5C87DD">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用途:把测量端机数据发送到测站参数:内置5W大功率230MHz水利专用发射电台、高增益全向吸盘天线、5米低损耗同轴馈线、专用信号避雷器；核心参数:采用国家水利专用230MHz授权通信频段，抗干扰、防频串扰，支持点对点专属传输；具备数据加密、校验重传、断线缓存补传功能；支持自报式、应答式、增量加报多种工作模式；适配野外高低温、高湿环境，集成防雷、过压、反接保护，满足水文测报规范要求。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设备组成:包括5W发射电台、吸盘天线、5米低功耗馈线、避雷器、采用230MHz频率。</w:t>
            </w:r>
          </w:p>
        </w:tc>
      </w:tr>
      <w:tr w14:paraId="3E43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2" w:hRule="atLeast"/>
        </w:trPr>
        <w:tc>
          <w:tcPr>
            <w:tcW w:w="0" w:type="auto"/>
            <w:shd w:val="clear" w:color="auto" w:fill="auto"/>
            <w:vAlign w:val="center"/>
          </w:tcPr>
          <w:p w14:paraId="615CC5B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14</w:t>
            </w:r>
          </w:p>
        </w:tc>
        <w:tc>
          <w:tcPr>
            <w:tcW w:w="0" w:type="auto"/>
            <w:shd w:val="clear" w:color="auto" w:fill="auto"/>
            <w:vAlign w:val="center"/>
          </w:tcPr>
          <w:p w14:paraId="594155CE">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数据接收处理机</w:t>
            </w:r>
          </w:p>
        </w:tc>
        <w:tc>
          <w:tcPr>
            <w:tcW w:w="0" w:type="auto"/>
            <w:shd w:val="clear" w:color="auto" w:fill="auto"/>
            <w:vAlign w:val="center"/>
          </w:tcPr>
          <w:p w14:paraId="30D63B45">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用途:负责接收水位点水位数据并可固态存储、打印数据等</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参数:专用处理主机、230Mz配套接收电台、嵌入式微型热敏打印机、17AH免维护铅酸蓄电池、智能充电保护器、水文专用数据后处理软件；核心参数；支持多测站并发数据接收，内置大容量固态存储，可长期存储历史水文数据，支持数据回溯、查询、整编；配备智能充电保护模块，具备过充、过放、短路保护，断电后可独立续航值守；支持实时数据、定时数据、异常数据报表自动打印，配套软件兼容标准水文规约，可完成数据统计、整编、异常告警。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设备组成:主机、接收电台、微型打印机，17AH免维护电池、充电保护器、后处理软件等</w:t>
            </w:r>
            <w:r>
              <w:rPr>
                <w:rFonts w:hint="eastAsia" w:ascii="Times New Roman" w:hAnsi="Times New Roman" w:eastAsia="仿宋_GB2312" w:cs="Times New Roman"/>
                <w:i w:val="0"/>
                <w:iCs w:val="0"/>
                <w:color w:val="000000"/>
                <w:kern w:val="0"/>
                <w:sz w:val="21"/>
                <w:szCs w:val="21"/>
                <w:highlight w:val="none"/>
                <w:u w:val="none"/>
                <w:lang w:val="en-US" w:eastAsia="zh-CN" w:bidi="ar"/>
              </w:rPr>
              <w:t>。</w:t>
            </w:r>
          </w:p>
        </w:tc>
      </w:tr>
      <w:tr w14:paraId="0297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6426815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15</w:t>
            </w:r>
          </w:p>
        </w:tc>
        <w:tc>
          <w:tcPr>
            <w:tcW w:w="0" w:type="auto"/>
            <w:shd w:val="clear" w:color="auto" w:fill="auto"/>
            <w:vAlign w:val="center"/>
          </w:tcPr>
          <w:p w14:paraId="06C2C20E">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专用台式计算机</w:t>
            </w:r>
          </w:p>
        </w:tc>
        <w:tc>
          <w:tcPr>
            <w:tcW w:w="0" w:type="auto"/>
            <w:shd w:val="clear" w:color="auto" w:fill="auto"/>
            <w:vAlign w:val="center"/>
          </w:tcPr>
          <w:p w14:paraId="6A8F81B5">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与数据接收处理机连接，运行接受处理及整编软件，RS232接口。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参数:CPU≥12核；内存≥16GB;配套23.8寸显示器；双千兆网卡；满足水文业务处理7*24h运行。（架设超短波值守软件，与前置机相连，能够直接查询数据）</w:t>
            </w:r>
          </w:p>
        </w:tc>
      </w:tr>
      <w:tr w14:paraId="5413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3DDBD18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16</w:t>
            </w:r>
          </w:p>
        </w:tc>
        <w:tc>
          <w:tcPr>
            <w:tcW w:w="0" w:type="auto"/>
            <w:shd w:val="clear" w:color="auto" w:fill="auto"/>
            <w:vAlign w:val="center"/>
          </w:tcPr>
          <w:p w14:paraId="4FDFD7D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雷达水位计</w:t>
            </w:r>
          </w:p>
        </w:tc>
        <w:tc>
          <w:tcPr>
            <w:tcW w:w="0" w:type="auto"/>
            <w:shd w:val="clear" w:color="auto" w:fill="auto"/>
            <w:vAlign w:val="center"/>
          </w:tcPr>
          <w:p w14:paraId="020BC0D1">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(1)测量范围:0.8~30米(可根据河道最大水位变幅调整参数)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(2)分辨力:0.1cm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(3)测量精度:±2mm(FMCW型)或≤±4mm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(4)工作频率:80-120GHz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(5)波束角:≤4</w:t>
            </w:r>
            <w:r>
              <w:rPr>
                <w:rStyle w:val="33"/>
                <w:rFonts w:hint="default" w:ascii="Times New Roman" w:hAnsi="Times New Roman" w:eastAsia="仿宋_GB2312" w:cs="Times New Roman"/>
                <w:sz w:val="21"/>
                <w:szCs w:val="21"/>
                <w:highlight w:val="none"/>
                <w:lang w:val="en-US" w:eastAsia="zh-CN" w:bidi="ar"/>
              </w:rPr>
              <w:t>⁰</w:t>
            </w:r>
            <w:r>
              <w:rPr>
                <w:rStyle w:val="35"/>
                <w:rFonts w:hint="default" w:ascii="Times New Roman" w:hAnsi="Times New Roman" w:eastAsia="仿宋_GB2312" w:cs="Times New Roman"/>
                <w:sz w:val="21"/>
                <w:szCs w:val="21"/>
                <w:highlight w:val="none"/>
                <w:lang w:val="en-US" w:eastAsia="zh-CN" w:bidi="ar"/>
              </w:rPr>
              <w:t>~10</w:t>
            </w:r>
            <w:r>
              <w:rPr>
                <w:rStyle w:val="33"/>
                <w:rFonts w:hint="default" w:ascii="Times New Roman" w:hAnsi="Times New Roman" w:eastAsia="仿宋_GB2312" w:cs="Times New Roman"/>
                <w:sz w:val="21"/>
                <w:szCs w:val="21"/>
                <w:highlight w:val="none"/>
                <w:lang w:val="en-US" w:eastAsia="zh-CN" w:bidi="ar"/>
              </w:rPr>
              <w:t>⁰</w:t>
            </w:r>
            <w:r>
              <w:rPr>
                <w:rStyle w:val="35"/>
                <w:rFonts w:hint="default" w:ascii="Times New Roman" w:hAnsi="Times New Roman" w:eastAsia="仿宋_GB2312" w:cs="Times New Roman"/>
                <w:sz w:val="21"/>
                <w:szCs w:val="21"/>
                <w:highlight w:val="none"/>
                <w:lang w:val="en-US" w:eastAsia="zh-CN" w:bidi="ar"/>
              </w:rPr>
              <w:t xml:space="preserve"> </w:t>
            </w:r>
            <w:r>
              <w:rPr>
                <w:rStyle w:val="35"/>
                <w:rFonts w:hint="default" w:ascii="Times New Roman" w:hAnsi="Times New Roman" w:eastAsia="仿宋_GB2312" w:cs="Times New Roman"/>
                <w:sz w:val="21"/>
                <w:szCs w:val="21"/>
                <w:highlight w:val="none"/>
                <w:lang w:val="en-US" w:eastAsia="zh-CN" w:bidi="ar"/>
              </w:rPr>
              <w:br w:type="textWrapping"/>
            </w:r>
            <w:r>
              <w:rPr>
                <w:rStyle w:val="35"/>
                <w:rFonts w:hint="default" w:ascii="Times New Roman" w:hAnsi="Times New Roman" w:eastAsia="仿宋_GB2312" w:cs="Times New Roman"/>
                <w:sz w:val="21"/>
                <w:szCs w:val="21"/>
                <w:highlight w:val="none"/>
                <w:lang w:val="en-US" w:eastAsia="zh-CN" w:bidi="ar"/>
              </w:rPr>
              <w:t xml:space="preserve">(6)通讯接口:RS-485(Modbus协议)或SDI-12/4-20Ma </w:t>
            </w:r>
            <w:r>
              <w:rPr>
                <w:rStyle w:val="35"/>
                <w:rFonts w:hint="default" w:ascii="Times New Roman" w:hAnsi="Times New Roman" w:eastAsia="仿宋_GB2312" w:cs="Times New Roman"/>
                <w:sz w:val="21"/>
                <w:szCs w:val="21"/>
                <w:highlight w:val="none"/>
                <w:lang w:val="en-US" w:eastAsia="zh-CN" w:bidi="ar"/>
              </w:rPr>
              <w:br w:type="textWrapping"/>
            </w:r>
            <w:r>
              <w:rPr>
                <w:rStyle w:val="35"/>
                <w:rFonts w:hint="default" w:ascii="Times New Roman" w:hAnsi="Times New Roman" w:eastAsia="仿宋_GB2312" w:cs="Times New Roman"/>
                <w:sz w:val="21"/>
                <w:szCs w:val="21"/>
                <w:highlight w:val="none"/>
                <w:lang w:val="en-US" w:eastAsia="zh-CN" w:bidi="ar"/>
              </w:rPr>
              <w:t xml:space="preserve">(7)供电电压:DC+12V </w:t>
            </w:r>
            <w:r>
              <w:rPr>
                <w:rStyle w:val="35"/>
                <w:rFonts w:hint="default" w:ascii="Times New Roman" w:hAnsi="Times New Roman" w:eastAsia="仿宋_GB2312" w:cs="Times New Roman"/>
                <w:sz w:val="21"/>
                <w:szCs w:val="21"/>
                <w:highlight w:val="none"/>
                <w:lang w:val="en-US" w:eastAsia="zh-CN" w:bidi="ar"/>
              </w:rPr>
              <w:br w:type="textWrapping"/>
            </w:r>
            <w:r>
              <w:rPr>
                <w:rStyle w:val="35"/>
                <w:rFonts w:hint="default" w:ascii="Times New Roman" w:hAnsi="Times New Roman" w:eastAsia="仿宋_GB2312" w:cs="Times New Roman"/>
                <w:sz w:val="21"/>
                <w:szCs w:val="21"/>
                <w:highlight w:val="none"/>
                <w:lang w:val="en-US" w:eastAsia="zh-CN" w:bidi="ar"/>
              </w:rPr>
              <w:t xml:space="preserve">(8)采样功耗:≤0.2W(静态电流&lt;5mA,工作电流&lt;40mA) </w:t>
            </w:r>
            <w:r>
              <w:rPr>
                <w:rStyle w:val="35"/>
                <w:rFonts w:hint="default" w:ascii="Times New Roman" w:hAnsi="Times New Roman" w:eastAsia="仿宋_GB2312" w:cs="Times New Roman"/>
                <w:sz w:val="21"/>
                <w:szCs w:val="21"/>
                <w:highlight w:val="none"/>
                <w:lang w:val="en-US" w:eastAsia="zh-CN" w:bidi="ar"/>
              </w:rPr>
              <w:br w:type="textWrapping"/>
            </w:r>
            <w:r>
              <w:rPr>
                <w:rStyle w:val="35"/>
                <w:rFonts w:hint="default" w:ascii="Times New Roman" w:hAnsi="Times New Roman" w:eastAsia="仿宋_GB2312" w:cs="Times New Roman"/>
                <w:sz w:val="21"/>
                <w:szCs w:val="21"/>
                <w:highlight w:val="none"/>
                <w:lang w:val="en-US" w:eastAsia="zh-CN" w:bidi="ar"/>
              </w:rPr>
              <w:t xml:space="preserve">(9)防护等级:IP68 </w:t>
            </w:r>
            <w:r>
              <w:rPr>
                <w:rStyle w:val="35"/>
                <w:rFonts w:hint="default" w:ascii="Times New Roman" w:hAnsi="Times New Roman" w:eastAsia="仿宋_GB2312" w:cs="Times New Roman"/>
                <w:sz w:val="21"/>
                <w:szCs w:val="21"/>
                <w:highlight w:val="none"/>
                <w:lang w:val="en-US" w:eastAsia="zh-CN" w:bidi="ar"/>
              </w:rPr>
              <w:br w:type="textWrapping"/>
            </w:r>
            <w:r>
              <w:rPr>
                <w:rStyle w:val="35"/>
                <w:rFonts w:hint="default" w:ascii="Times New Roman" w:hAnsi="Times New Roman" w:eastAsia="仿宋_GB2312" w:cs="Times New Roman"/>
                <w:sz w:val="21"/>
                <w:szCs w:val="21"/>
                <w:highlight w:val="none"/>
                <w:lang w:val="en-US" w:eastAsia="zh-CN" w:bidi="ar"/>
              </w:rPr>
              <w:t xml:space="preserve">(10)防雷等级:≥2KV </w:t>
            </w:r>
            <w:r>
              <w:rPr>
                <w:rStyle w:val="35"/>
                <w:rFonts w:hint="default" w:ascii="Times New Roman" w:hAnsi="Times New Roman" w:eastAsia="仿宋_GB2312" w:cs="Times New Roman"/>
                <w:sz w:val="21"/>
                <w:szCs w:val="21"/>
                <w:highlight w:val="none"/>
                <w:lang w:val="en-US" w:eastAsia="zh-CN" w:bidi="ar"/>
              </w:rPr>
              <w:br w:type="textWrapping"/>
            </w:r>
            <w:r>
              <w:rPr>
                <w:rStyle w:val="35"/>
                <w:rFonts w:hint="default" w:ascii="Times New Roman" w:hAnsi="Times New Roman" w:eastAsia="仿宋_GB2312" w:cs="Times New Roman"/>
                <w:sz w:val="21"/>
                <w:szCs w:val="21"/>
                <w:highlight w:val="none"/>
                <w:lang w:val="en-US" w:eastAsia="zh-CN" w:bidi="ar"/>
              </w:rPr>
              <w:t>(11)工作温度:-40</w:t>
            </w:r>
            <w:r>
              <w:rPr>
                <w:rStyle w:val="33"/>
                <w:rFonts w:hint="default" w:ascii="Times New Roman" w:hAnsi="Times New Roman" w:eastAsia="仿宋_GB2312" w:cs="Times New Roman"/>
                <w:sz w:val="21"/>
                <w:szCs w:val="21"/>
                <w:highlight w:val="none"/>
                <w:lang w:val="en-US" w:eastAsia="zh-CN" w:bidi="ar"/>
              </w:rPr>
              <w:t>⁰</w:t>
            </w:r>
            <w:r>
              <w:rPr>
                <w:rStyle w:val="35"/>
                <w:rFonts w:hint="default" w:ascii="Times New Roman" w:hAnsi="Times New Roman" w:eastAsia="仿宋_GB2312" w:cs="Times New Roman"/>
                <w:sz w:val="21"/>
                <w:szCs w:val="21"/>
                <w:highlight w:val="none"/>
                <w:lang w:val="en-US" w:eastAsia="zh-CN" w:bidi="ar"/>
              </w:rPr>
              <w:t>C~+80</w:t>
            </w:r>
            <w:r>
              <w:rPr>
                <w:rStyle w:val="33"/>
                <w:rFonts w:hint="default" w:ascii="Times New Roman" w:hAnsi="Times New Roman" w:eastAsia="仿宋_GB2312" w:cs="Times New Roman"/>
                <w:sz w:val="21"/>
                <w:szCs w:val="21"/>
                <w:highlight w:val="none"/>
                <w:lang w:val="en-US" w:eastAsia="zh-CN" w:bidi="ar"/>
              </w:rPr>
              <w:t>⁰</w:t>
            </w:r>
            <w:r>
              <w:rPr>
                <w:rStyle w:val="35"/>
                <w:rFonts w:hint="default" w:ascii="Times New Roman" w:hAnsi="Times New Roman" w:eastAsia="仿宋_GB2312" w:cs="Times New Roman"/>
                <w:sz w:val="21"/>
                <w:szCs w:val="21"/>
                <w:highlight w:val="none"/>
                <w:lang w:val="en-US" w:eastAsia="zh-CN" w:bidi="ar"/>
              </w:rPr>
              <w:t xml:space="preserve">C </w:t>
            </w:r>
          </w:p>
        </w:tc>
      </w:tr>
      <w:tr w14:paraId="23689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3653475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17</w:t>
            </w:r>
          </w:p>
        </w:tc>
        <w:tc>
          <w:tcPr>
            <w:tcW w:w="0" w:type="auto"/>
            <w:shd w:val="clear" w:color="auto" w:fill="auto"/>
            <w:vAlign w:val="center"/>
          </w:tcPr>
          <w:p w14:paraId="526B6DF3">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国产化集中式数据库</w:t>
            </w:r>
          </w:p>
        </w:tc>
        <w:tc>
          <w:tcPr>
            <w:tcW w:w="0" w:type="auto"/>
            <w:shd w:val="clear" w:color="auto" w:fill="auto"/>
            <w:vAlign w:val="center"/>
          </w:tcPr>
          <w:p w14:paraId="2C1F2037">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both"/>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1、支持标准SQL；</w:t>
            </w:r>
          </w:p>
          <w:p w14:paraId="16D93D70">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both"/>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2、支持标准开发接口；</w:t>
            </w:r>
          </w:p>
          <w:p w14:paraId="1D84D149">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both"/>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3、适配麒麟、统信等主流国产化操作系统；</w:t>
            </w:r>
          </w:p>
          <w:p w14:paraId="3584080A">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both"/>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4、支持主备部署；</w:t>
            </w:r>
          </w:p>
          <w:p w14:paraId="3C02D627">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both"/>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5、易运维，支持一键式收集诊断信息；</w:t>
            </w:r>
          </w:p>
          <w:p w14:paraId="19664432">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both"/>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6、支持数据库安全功能。</w:t>
            </w:r>
          </w:p>
        </w:tc>
      </w:tr>
      <w:tr w14:paraId="3490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71146EA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18</w:t>
            </w:r>
          </w:p>
        </w:tc>
        <w:tc>
          <w:tcPr>
            <w:tcW w:w="0" w:type="auto"/>
            <w:shd w:val="clear" w:color="auto" w:fill="auto"/>
            <w:vAlign w:val="center"/>
          </w:tcPr>
          <w:p w14:paraId="37CCBE7C">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eastAsia" w:eastAsia="仿宋_GB2312" w:cs="Times New Roman"/>
                <w:i w:val="0"/>
                <w:iCs w:val="0"/>
                <w:color w:val="000000"/>
                <w:kern w:val="0"/>
                <w:sz w:val="21"/>
                <w:szCs w:val="21"/>
                <w:highlight w:val="none"/>
                <w:u w:val="none"/>
                <w:lang w:val="en-US" w:eastAsia="zh-CN" w:bidi="ar"/>
              </w:rPr>
              <w:t>侧</w:t>
            </w:r>
            <w:r>
              <w:rPr>
                <w:rFonts w:hint="default" w:ascii="Times New Roman" w:hAnsi="Times New Roman" w:eastAsia="仿宋_GB2312" w:cs="Times New Roman"/>
                <w:i w:val="0"/>
                <w:iCs w:val="0"/>
                <w:color w:val="000000"/>
                <w:kern w:val="0"/>
                <w:sz w:val="21"/>
                <w:szCs w:val="21"/>
                <w:highlight w:val="none"/>
                <w:u w:val="none"/>
                <w:lang w:val="en-US" w:eastAsia="zh-CN" w:bidi="ar"/>
              </w:rPr>
              <w:t>扫雷达</w:t>
            </w:r>
          </w:p>
        </w:tc>
        <w:tc>
          <w:tcPr>
            <w:tcW w:w="0" w:type="auto"/>
            <w:shd w:val="clear" w:color="auto" w:fill="auto"/>
            <w:vAlign w:val="center"/>
          </w:tcPr>
          <w:p w14:paraId="535079A9">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left"/>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设备安装形式以实际供货为准。</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1、超高频雷达技术参数：</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雷达波段：水文雷达频段</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发射峰值功率：</w:t>
            </w:r>
            <w:r>
              <w:rPr>
                <w:rStyle w:val="34"/>
                <w:rFonts w:hint="default" w:ascii="Times New Roman" w:hAnsi="Times New Roman" w:eastAsia="仿宋_GB2312" w:cs="Times New Roman"/>
                <w:sz w:val="21"/>
                <w:szCs w:val="21"/>
                <w:highlight w:val="none"/>
                <w:lang w:val="en-US" w:eastAsia="zh-CN" w:bidi="ar"/>
              </w:rPr>
              <w:t>≤</w:t>
            </w:r>
            <w:r>
              <w:rPr>
                <w:rStyle w:val="32"/>
                <w:rFonts w:hint="default" w:ascii="Times New Roman" w:hAnsi="Times New Roman" w:eastAsia="仿宋_GB2312" w:cs="Times New Roman"/>
                <w:sz w:val="21"/>
                <w:szCs w:val="21"/>
                <w:highlight w:val="none"/>
                <w:lang w:val="en-US" w:eastAsia="zh-CN" w:bidi="ar"/>
              </w:rPr>
              <w:t>50dBm（提供无线电发射设备型号核准证/省级或以上权威检测机构CNAS证书）；</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供电电压：220VAC或24VDC；</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工作温度范围：-30</w:t>
            </w:r>
            <w:r>
              <w:rPr>
                <w:rStyle w:val="36"/>
                <w:rFonts w:hint="default" w:ascii="Times New Roman" w:hAnsi="Times New Roman" w:eastAsia="仿宋_GB2312" w:cs="Times New Roman"/>
                <w:sz w:val="21"/>
                <w:szCs w:val="21"/>
                <w:highlight w:val="none"/>
                <w:lang w:val="en-US" w:eastAsia="zh-CN" w:bidi="ar"/>
              </w:rPr>
              <w:t>⁰</w:t>
            </w:r>
            <w:r>
              <w:rPr>
                <w:rStyle w:val="32"/>
                <w:rFonts w:hint="default" w:ascii="Times New Roman" w:hAnsi="Times New Roman" w:eastAsia="仿宋_GB2312" w:cs="Times New Roman"/>
                <w:sz w:val="21"/>
                <w:szCs w:val="21"/>
                <w:highlight w:val="none"/>
                <w:lang w:val="en-US" w:eastAsia="zh-CN" w:bidi="ar"/>
              </w:rPr>
              <w:t>C至70</w:t>
            </w:r>
            <w:r>
              <w:rPr>
                <w:rStyle w:val="36"/>
                <w:rFonts w:hint="default" w:ascii="Times New Roman" w:hAnsi="Times New Roman" w:eastAsia="仿宋_GB2312" w:cs="Times New Roman"/>
                <w:sz w:val="21"/>
                <w:szCs w:val="21"/>
                <w:highlight w:val="none"/>
                <w:lang w:val="en-US" w:eastAsia="zh-CN" w:bidi="ar"/>
              </w:rPr>
              <w:t>⁰</w:t>
            </w:r>
            <w:r>
              <w:rPr>
                <w:rStyle w:val="32"/>
                <w:rFonts w:hint="default" w:ascii="Times New Roman" w:hAnsi="Times New Roman" w:eastAsia="仿宋_GB2312" w:cs="Times New Roman"/>
                <w:sz w:val="21"/>
                <w:szCs w:val="21"/>
                <w:highlight w:val="none"/>
                <w:lang w:val="en-US" w:eastAsia="zh-CN" w:bidi="ar"/>
              </w:rPr>
              <w:t>C；保存温度：-40</w:t>
            </w:r>
            <w:r>
              <w:rPr>
                <w:rStyle w:val="36"/>
                <w:rFonts w:hint="default" w:ascii="Times New Roman" w:hAnsi="Times New Roman" w:eastAsia="仿宋_GB2312" w:cs="Times New Roman"/>
                <w:sz w:val="21"/>
                <w:szCs w:val="21"/>
                <w:highlight w:val="none"/>
                <w:lang w:val="en-US" w:eastAsia="zh-CN" w:bidi="ar"/>
              </w:rPr>
              <w:t>⁰</w:t>
            </w:r>
            <w:r>
              <w:rPr>
                <w:rStyle w:val="32"/>
                <w:rFonts w:hint="default" w:ascii="Times New Roman" w:hAnsi="Times New Roman" w:eastAsia="仿宋_GB2312" w:cs="Times New Roman"/>
                <w:sz w:val="21"/>
                <w:szCs w:val="21"/>
                <w:highlight w:val="none"/>
                <w:lang w:val="en-US" w:eastAsia="zh-CN" w:bidi="ar"/>
              </w:rPr>
              <w:t>C至70</w:t>
            </w:r>
            <w:r>
              <w:rPr>
                <w:rStyle w:val="36"/>
                <w:rFonts w:hint="default" w:ascii="Times New Roman" w:hAnsi="Times New Roman" w:eastAsia="仿宋_GB2312" w:cs="Times New Roman"/>
                <w:sz w:val="21"/>
                <w:szCs w:val="21"/>
                <w:highlight w:val="none"/>
                <w:lang w:val="en-US" w:eastAsia="zh-CN" w:bidi="ar"/>
              </w:rPr>
              <w:t>⁰</w:t>
            </w:r>
            <w:r>
              <w:rPr>
                <w:rStyle w:val="32"/>
                <w:rFonts w:hint="default" w:ascii="Times New Roman" w:hAnsi="Times New Roman" w:eastAsia="仿宋_GB2312" w:cs="Times New Roman"/>
                <w:sz w:val="21"/>
                <w:szCs w:val="21"/>
                <w:highlight w:val="none"/>
                <w:lang w:val="en-US" w:eastAsia="zh-CN" w:bidi="ar"/>
              </w:rPr>
              <w:t>C；</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数据传输方式：4G网络，有线网，WIFI；</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雷达本地存储大小：</w:t>
            </w:r>
            <w:r>
              <w:rPr>
                <w:rStyle w:val="34"/>
                <w:rFonts w:hint="default" w:ascii="Times New Roman" w:hAnsi="Times New Roman" w:eastAsia="仿宋_GB2312" w:cs="Times New Roman"/>
                <w:sz w:val="21"/>
                <w:szCs w:val="21"/>
                <w:highlight w:val="none"/>
                <w:lang w:val="en-US" w:eastAsia="zh-CN" w:bidi="ar"/>
              </w:rPr>
              <w:t>≥</w:t>
            </w:r>
            <w:r>
              <w:rPr>
                <w:rStyle w:val="32"/>
                <w:rFonts w:hint="default" w:ascii="Times New Roman" w:hAnsi="Times New Roman" w:eastAsia="仿宋_GB2312" w:cs="Times New Roman"/>
                <w:sz w:val="21"/>
                <w:szCs w:val="21"/>
                <w:highlight w:val="none"/>
                <w:lang w:val="en-US" w:eastAsia="zh-CN" w:bidi="ar"/>
              </w:rPr>
              <w:t>2T；本地最大存储时长:</w:t>
            </w:r>
            <w:r>
              <w:rPr>
                <w:rStyle w:val="37"/>
                <w:rFonts w:hint="default" w:ascii="Times New Roman" w:hAnsi="Times New Roman" w:eastAsia="仿宋_GB2312" w:cs="Times New Roman"/>
                <w:sz w:val="21"/>
                <w:szCs w:val="21"/>
                <w:highlight w:val="none"/>
                <w:lang w:val="en-US" w:eastAsia="zh-CN" w:bidi="ar"/>
              </w:rPr>
              <w:t>≥</w:t>
            </w:r>
            <w:r>
              <w:rPr>
                <w:rStyle w:val="32"/>
                <w:rFonts w:hint="default" w:ascii="Times New Roman" w:hAnsi="Times New Roman" w:eastAsia="仿宋_GB2312" w:cs="Times New Roman"/>
                <w:sz w:val="21"/>
                <w:szCs w:val="21"/>
                <w:highlight w:val="none"/>
                <w:lang w:val="en-US" w:eastAsia="zh-CN" w:bidi="ar"/>
              </w:rPr>
              <w:t>2年(保存原始回波数据):</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测流时间间隔:可配置（默认半小时)；</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覆盖面积:</w:t>
            </w:r>
            <w:r>
              <w:rPr>
                <w:rStyle w:val="34"/>
                <w:rFonts w:hint="default" w:ascii="Times New Roman" w:hAnsi="Times New Roman" w:eastAsia="仿宋_GB2312" w:cs="Times New Roman"/>
                <w:sz w:val="21"/>
                <w:szCs w:val="21"/>
                <w:highlight w:val="none"/>
                <w:lang w:val="en-US" w:eastAsia="zh-CN" w:bidi="ar"/>
              </w:rPr>
              <w:t>≥</w:t>
            </w:r>
            <w:r>
              <w:rPr>
                <w:rStyle w:val="32"/>
                <w:rFonts w:hint="default" w:ascii="Times New Roman" w:hAnsi="Times New Roman" w:eastAsia="仿宋_GB2312" w:cs="Times New Roman"/>
                <w:sz w:val="21"/>
                <w:szCs w:val="21"/>
                <w:highlight w:val="none"/>
                <w:lang w:val="en-US" w:eastAsia="zh-CN" w:bidi="ar"/>
              </w:rPr>
              <w:t>400m</w:t>
            </w:r>
            <w:r>
              <w:rPr>
                <w:rStyle w:val="37"/>
                <w:rFonts w:hint="default" w:ascii="Times New Roman" w:hAnsi="Times New Roman" w:eastAsia="仿宋_GB2312" w:cs="Times New Roman"/>
                <w:sz w:val="21"/>
                <w:szCs w:val="21"/>
                <w:highlight w:val="none"/>
                <w:lang w:val="en-US" w:eastAsia="zh-CN" w:bidi="ar"/>
              </w:rPr>
              <w:t>×</w:t>
            </w:r>
            <w:r>
              <w:rPr>
                <w:rStyle w:val="32"/>
                <w:rFonts w:hint="default" w:ascii="Times New Roman" w:hAnsi="Times New Roman" w:eastAsia="仿宋_GB2312" w:cs="Times New Roman"/>
                <w:sz w:val="21"/>
                <w:szCs w:val="21"/>
                <w:highlight w:val="none"/>
                <w:lang w:val="en-US" w:eastAsia="zh-CN" w:bidi="ar"/>
              </w:rPr>
              <w:t>400m；</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测量河流宽度:</w:t>
            </w:r>
            <w:r>
              <w:rPr>
                <w:rStyle w:val="34"/>
                <w:rFonts w:hint="default" w:ascii="Times New Roman" w:hAnsi="Times New Roman" w:eastAsia="仿宋_GB2312" w:cs="Times New Roman"/>
                <w:sz w:val="21"/>
                <w:szCs w:val="21"/>
                <w:highlight w:val="none"/>
                <w:lang w:val="en-US" w:eastAsia="zh-CN" w:bidi="ar"/>
              </w:rPr>
              <w:t>≥</w:t>
            </w:r>
            <w:r>
              <w:rPr>
                <w:rStyle w:val="32"/>
                <w:rFonts w:hint="default" w:ascii="Times New Roman" w:hAnsi="Times New Roman" w:eastAsia="仿宋_GB2312" w:cs="Times New Roman"/>
                <w:sz w:val="21"/>
                <w:szCs w:val="21"/>
                <w:highlight w:val="none"/>
                <w:lang w:val="en-US" w:eastAsia="zh-CN" w:bidi="ar"/>
              </w:rPr>
              <w:t>30m且不高于500m；</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距离分辨率:5m至30m:</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流速测量范围:2.0cm/s-500cm/s:</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表面流速分辨力:优于2.0cm/s；</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具有往复流的流量探测能力(能实现正负流量探测)；</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所投的水文雷达产品通过国家无线电管理要求。所投产品持有由工业和信息化部颁发的覆盖所投产品型号的《无线电发射设备型号核准证》。（提供有效的核准证复印件及工业和信息化部无线电型号核准查询官方网站的查询结果截图加盖公章。截图应包含查询网址、证书编号、设备型号、核准状态等关健信息。）</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(15)提供不少于5份由所投产品最终使用单位出具的投产使用或验收证明材料扫描件，用以佐证所投产品的成熟度及应用认可度。所有扫描件须内容完整、清晰可辨且真实有效。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(16)应满足《河流流量测验规范》(GB50179-2015)规定要求。雷达天线要求根据现场河流断面情况及水文特性，调整安装位置及安装角度。信息传输及供电线路敷设根据现场情况确定，确保线路均在最高水位以上，避免冲刷、侵蚀。调试安装供电及信息传输设备确保信号收集及稳定传输。</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2、遥测终端机</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(1）工作电压:10~30VDC:</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(2)值守电流: ≤2mA@12VDC(值守时关闭液晶，则值守电流≤1mA@12VDC);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(3)工作电流:≤50mA@12VDC(含通信设备)；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(4)工作温度范围:-30℃~70℃:保存温度范围:-40℃~70℃;</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(5)工作湿度:&lt;95%RH;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(6)平均无故障时间MTBF:≥100,000小时；</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(7)通信接口:5个串行口(4个RS-232,1个RS-485);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(8)存储空间:≥128Mbit;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(9)电源输出:6路12VDC(0~10A);</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(10)开关量输入:13路；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(11)数字输出:2路D0,1路OC；扩展接口:1)模拟输入:8路单通道(4路差分)，2)数字输入:8路，3)开关量输入:8路，4)电源输出:1路(24V/12V/5V可选)，5)通信口:1个RS232, 1个RS485。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(12)远程升级:设备可以远程进行程序功能升级。 具有自恢复电路，能够解决因雪崩失效引起的设备死机且看门狗无法工作的情况；为保证雨量采集精度，要求电路设计具有采集信号消除干扰功能；符合水文通信数据传输公约；具有自报、应答、自报加应答三种工作模式，可灵活自动调整；支持休眠唤醒，具有掉电数据保护功能；可采集的遥测参数:雨量、水位、图像、流量、蓄电池电压、风向、风速、气压、空气温湿度、水温、水质、泉流量等水文、气象和水质信息；通信方式:可同时接入4G网络和北斗卫星两种通信设备，并实现主备通信模式。</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3、信息屏蔽器</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额定电压12V;最大连续工作电压18V;应用RS232;保护脚1~ 9脚.最大容通电流340A.动作时间&lt;10ns.电容</w:t>
            </w:r>
            <w:r>
              <w:rPr>
                <w:rStyle w:val="34"/>
                <w:rFonts w:hint="default" w:ascii="Times New Roman" w:hAnsi="Times New Roman" w:eastAsia="仿宋_GB2312" w:cs="Times New Roman"/>
                <w:sz w:val="21"/>
                <w:szCs w:val="21"/>
                <w:highlight w:val="none"/>
                <w:lang w:val="en-US" w:eastAsia="zh-CN" w:bidi="ar"/>
              </w:rPr>
              <w:t>&lt;</w:t>
            </w:r>
            <w:r>
              <w:rPr>
                <w:rStyle w:val="32"/>
                <w:rFonts w:hint="default" w:ascii="Times New Roman" w:hAnsi="Times New Roman" w:eastAsia="仿宋_GB2312" w:cs="Times New Roman"/>
                <w:sz w:val="21"/>
                <w:szCs w:val="21"/>
                <w:highlight w:val="none"/>
                <w:lang w:val="en-US" w:eastAsia="zh-CN" w:bidi="ar"/>
              </w:rPr>
              <w:t xml:space="preserve">30pF。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4、通信模块</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网络支持全网通(4G/3G/2G)、有线公网；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串行数据接口:具备2个以上串口，其中通讯串口≥1个(可选RS-232/RS-485/RS-422/TTL);支持PPP、TCP/IP协议栈；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通讯方式:支持透明TCP/UDP/SMS,DDP+TCP/UDP/SMS等多种通讯方式。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数据通道:支持多通道同时在线、数据和短信通道互备份、数据和数据互备份。</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定时上下线:支持定时上下线功能，可通过电话、短信、数据等方式唤醒设备上线。</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工作电压：支持至少10~15V DC:值守电流:≤50mA:</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5、短传模块:工业级应用设计；采用高性能工业级芯片；采用金属外壳，保护等级IP30。金属外壳和系统安全隔离；宽电源输入(DC5~36V);WDT看门狗设计，保证系统稳定；</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RS232/RS485/RS422接口内置15KV ESD保护；电源接口内置反相保护和过压保护；天线接口防雷保护；提供标准RS232和标准RS485(或RS422)接口，可直接连接串口设备；可定制TTL电平串口，可定制ADC；智能型数据终端，上电即可进入数据传输状态；使用方便，灵活，多种工作模式选择；支持串口软件升级；支持LoRa无线短距离数据传输功能，具有自组网能力；具备中继路由和终端设备功能；65000个节点(典型个数300个）；广播发送或目标地址发送模式可选：提供5路1/0，可实现3路模拟量输入、2路数字量输入输出；兼容2路脉冲机。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6、压力式水位计:4~20mADC两线制电流输出；采用数字温度补偿及非线性修正技术；具备RS485通讯接口或HARTⓇ协议(可选):支持组网应用:全不锈钢结构设计。</w:t>
            </w:r>
          </w:p>
        </w:tc>
      </w:tr>
      <w:tr w14:paraId="32D2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25C2EE4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19</w:t>
            </w:r>
          </w:p>
        </w:tc>
        <w:tc>
          <w:tcPr>
            <w:tcW w:w="0" w:type="auto"/>
            <w:shd w:val="clear" w:color="auto" w:fill="auto"/>
            <w:vAlign w:val="center"/>
          </w:tcPr>
          <w:p w14:paraId="473BBA3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自动化数据采集仪</w:t>
            </w:r>
          </w:p>
        </w:tc>
        <w:tc>
          <w:tcPr>
            <w:tcW w:w="0" w:type="auto"/>
            <w:shd w:val="clear" w:color="auto" w:fill="auto"/>
            <w:vAlign w:val="center"/>
          </w:tcPr>
          <w:p w14:paraId="6DBA1E8F">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通道数:8;量程:频率400Hz~5000Hz; 温度-40℃~60℃;精度:频率≤0.2Hz;温度≤0.5℃:分辨率；频率0.1Hz;温度0.1℃; 具备混合式测量功能，具备抗电磁干扰能力，工作温度-40℃~80℃。供电方式与GNSS共用</w:t>
            </w:r>
            <w:r>
              <w:rPr>
                <w:rFonts w:hint="eastAsia" w:ascii="Times New Roman" w:hAnsi="Times New Roman" w:eastAsia="仿宋_GB2312" w:cs="Times New Roman"/>
                <w:i w:val="0"/>
                <w:iCs w:val="0"/>
                <w:color w:val="000000"/>
                <w:kern w:val="0"/>
                <w:sz w:val="21"/>
                <w:szCs w:val="21"/>
                <w:highlight w:val="none"/>
                <w:u w:val="none"/>
                <w:lang w:val="en-US" w:eastAsia="zh-CN" w:bidi="ar"/>
              </w:rPr>
              <w:t>。</w:t>
            </w:r>
          </w:p>
        </w:tc>
      </w:tr>
      <w:tr w14:paraId="32F8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4759EF9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20</w:t>
            </w:r>
          </w:p>
        </w:tc>
        <w:tc>
          <w:tcPr>
            <w:tcW w:w="1253" w:type="dxa"/>
            <w:shd w:val="clear" w:color="auto" w:fill="auto"/>
            <w:vAlign w:val="center"/>
          </w:tcPr>
          <w:p w14:paraId="150104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仿宋_GB2312" w:cs="Times New Roman"/>
                <w:color w:val="000000" w:themeColor="text1"/>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集中式存储（SAN）</w:t>
            </w:r>
          </w:p>
        </w:tc>
        <w:tc>
          <w:tcPr>
            <w:tcW w:w="7954" w:type="dxa"/>
            <w:shd w:val="clear" w:color="auto" w:fill="auto"/>
            <w:vAlign w:val="center"/>
          </w:tcPr>
          <w:p w14:paraId="0A138FF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imes New Roman" w:hAnsi="Times New Roman" w:eastAsia="仿宋_GB2312" w:cs="Times New Roman"/>
                <w:color w:val="000000" w:themeColor="text1"/>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1"/>
                <w:szCs w:val="21"/>
                <w:highlight w:val="none"/>
                <w:vertAlign w:val="baseline"/>
                <w14:textFill>
                  <w14:solidFill>
                    <w14:schemeClr w14:val="tx1"/>
                  </w14:solidFill>
                </w14:textFill>
              </w:rPr>
              <w:t>面向核心数据库、实时数据引擎，提供高性能块存储服务，支持FC/iSCSI/NVMe等多协议接入，交付低延时、高IOPS读写能力；采用全冗余控制器架构与多重数据保护机制，支持对称双活与远程容灾复制，保障核心数据零丢失与业务连续运行</w:t>
            </w:r>
            <w:r>
              <w:rPr>
                <w:rFonts w:hint="default" w:ascii="Times New Roman" w:hAnsi="Times New Roman" w:eastAsia="仿宋_GB2312" w:cs="Times New Roman"/>
                <w:color w:val="000000" w:themeColor="text1"/>
                <w:sz w:val="21"/>
                <w:szCs w:val="21"/>
                <w:highlight w:val="none"/>
                <w:vertAlign w:val="baseline"/>
                <w:lang w:eastAsia="zh-CN"/>
                <w14:textFill>
                  <w14:solidFill>
                    <w14:schemeClr w14:val="tx1"/>
                  </w14:solidFill>
                </w14:textFill>
              </w:rPr>
              <w:t>。</w:t>
            </w:r>
          </w:p>
        </w:tc>
      </w:tr>
      <w:tr w14:paraId="6348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2865F60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21</w:t>
            </w:r>
          </w:p>
        </w:tc>
        <w:tc>
          <w:tcPr>
            <w:tcW w:w="0" w:type="auto"/>
            <w:shd w:val="clear" w:color="auto" w:fill="auto"/>
            <w:vAlign w:val="center"/>
          </w:tcPr>
          <w:p w14:paraId="5E68953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渗压计</w:t>
            </w:r>
          </w:p>
        </w:tc>
        <w:tc>
          <w:tcPr>
            <w:tcW w:w="0" w:type="auto"/>
            <w:shd w:val="clear" w:color="auto" w:fill="auto"/>
            <w:vAlign w:val="center"/>
          </w:tcPr>
          <w:p w14:paraId="525A13CC">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振弦式，量程0.35MPa,非线性度:直线≤0.5%F.S.,多项式≤0.1%F.S.;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分辨力0.025%F.S.工作温度-40℃~80℃; </w:t>
            </w:r>
          </w:p>
        </w:tc>
      </w:tr>
      <w:tr w14:paraId="63DF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5C9FF3E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22</w:t>
            </w:r>
          </w:p>
        </w:tc>
        <w:tc>
          <w:tcPr>
            <w:tcW w:w="0" w:type="auto"/>
            <w:shd w:val="clear" w:color="auto" w:fill="auto"/>
            <w:vAlign w:val="center"/>
          </w:tcPr>
          <w:p w14:paraId="776DC72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ABS测压管</w:t>
            </w:r>
          </w:p>
        </w:tc>
        <w:tc>
          <w:tcPr>
            <w:tcW w:w="0" w:type="auto"/>
            <w:shd w:val="clear" w:color="auto" w:fill="auto"/>
            <w:vAlign w:val="center"/>
          </w:tcPr>
          <w:p w14:paraId="031A25E8">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ABS材质，管径外径63mm,壁厚4.5mm,由透水管和导管组成。透水管可用导管管材加工制作，面积开孔率宜10%~20%(呈梅花状分布，排列均匀和内壁无毛刺) </w:t>
            </w:r>
          </w:p>
        </w:tc>
      </w:tr>
      <w:tr w14:paraId="0304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1844C18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23</w:t>
            </w:r>
          </w:p>
        </w:tc>
        <w:tc>
          <w:tcPr>
            <w:tcW w:w="0" w:type="auto"/>
            <w:shd w:val="clear" w:color="auto" w:fill="auto"/>
            <w:vAlign w:val="center"/>
          </w:tcPr>
          <w:p w14:paraId="3B3113F4">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四芯屏蔽电缆</w:t>
            </w:r>
          </w:p>
        </w:tc>
        <w:tc>
          <w:tcPr>
            <w:tcW w:w="0" w:type="auto"/>
            <w:shd w:val="clear" w:color="auto" w:fill="auto"/>
            <w:vAlign w:val="center"/>
          </w:tcPr>
          <w:p w14:paraId="0EA9B261">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4芯，芯线材质:镀锡铜丝，双绞屏蔽电缆，符合国标要求。 </w:t>
            </w:r>
          </w:p>
        </w:tc>
      </w:tr>
      <w:tr w14:paraId="3E91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444FE50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24</w:t>
            </w:r>
          </w:p>
        </w:tc>
        <w:tc>
          <w:tcPr>
            <w:tcW w:w="0" w:type="auto"/>
            <w:shd w:val="clear" w:color="auto" w:fill="auto"/>
            <w:vAlign w:val="center"/>
          </w:tcPr>
          <w:p w14:paraId="7781B94F">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center"/>
              <w:textAlignment w:val="center"/>
              <w:rPr>
                <w:rFonts w:hint="default" w:ascii="Times New Roman" w:hAnsi="Times New Roman" w:eastAsia="仿宋_GB2312" w:cs="Times New Roman"/>
                <w:i w:val="0"/>
                <w:iCs w:val="0"/>
                <w:color w:val="000000"/>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电缆保护管</w:t>
            </w:r>
          </w:p>
        </w:tc>
        <w:tc>
          <w:tcPr>
            <w:tcW w:w="0" w:type="auto"/>
            <w:shd w:val="clear" w:color="auto" w:fill="auto"/>
            <w:vAlign w:val="center"/>
          </w:tcPr>
          <w:p w14:paraId="2F570763">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firstLine="0" w:firstLineChars="0"/>
              <w:jc w:val="left"/>
              <w:textAlignment w:val="center"/>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热镀锌钢管，外径48.3m,壁厚3mm,含线管固定配件</w:t>
            </w:r>
            <w:r>
              <w:rPr>
                <w:rFonts w:hint="eastAsia" w:ascii="Times New Roman" w:hAnsi="Times New Roman" w:eastAsia="仿宋_GB2312" w:cs="Times New Roman"/>
                <w:i w:val="0"/>
                <w:iCs w:val="0"/>
                <w:color w:val="000000"/>
                <w:kern w:val="0"/>
                <w:sz w:val="21"/>
                <w:szCs w:val="21"/>
                <w:highlight w:val="none"/>
                <w:u w:val="none"/>
                <w:lang w:val="en-US" w:eastAsia="zh-CN" w:bidi="ar"/>
              </w:rPr>
              <w:t>。</w:t>
            </w:r>
          </w:p>
        </w:tc>
      </w:tr>
      <w:tr w14:paraId="388A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5FC86B3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25</w:t>
            </w:r>
          </w:p>
        </w:tc>
        <w:tc>
          <w:tcPr>
            <w:tcW w:w="0" w:type="auto"/>
            <w:shd w:val="clear" w:color="auto" w:fill="auto"/>
            <w:vAlign w:val="center"/>
          </w:tcPr>
          <w:p w14:paraId="4BBEA3B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直立式水尺</w:t>
            </w:r>
          </w:p>
        </w:tc>
        <w:tc>
          <w:tcPr>
            <w:tcW w:w="0" w:type="auto"/>
            <w:shd w:val="clear" w:color="auto" w:fill="auto"/>
            <w:vAlign w:val="center"/>
          </w:tcPr>
          <w:p w14:paraId="6AF40279">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⑴</w:t>
            </w:r>
            <w:r>
              <w:rPr>
                <w:rStyle w:val="35"/>
                <w:rFonts w:hint="default" w:ascii="Times New Roman" w:hAnsi="Times New Roman" w:eastAsia="仿宋_GB2312" w:cs="Times New Roman"/>
                <w:sz w:val="21"/>
                <w:szCs w:val="21"/>
                <w:highlight w:val="none"/>
                <w:lang w:val="en-US" w:eastAsia="zh-CN" w:bidi="ar"/>
              </w:rPr>
              <w:t>类型:搪瓷/不锈钢水尺(红蓝相间，符合国标)，矮桩形式</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⑵</w:t>
            </w:r>
            <w:r>
              <w:rPr>
                <w:rStyle w:val="35"/>
                <w:rFonts w:hint="default" w:ascii="Times New Roman" w:hAnsi="Times New Roman" w:eastAsia="仿宋_GB2312" w:cs="Times New Roman"/>
                <w:sz w:val="21"/>
                <w:szCs w:val="21"/>
                <w:highlight w:val="none"/>
                <w:lang w:val="en-US" w:eastAsia="zh-CN" w:bidi="ar"/>
              </w:rPr>
              <w:t>量程:1米</w:t>
            </w:r>
            <w:r>
              <w:rPr>
                <w:rStyle w:val="38"/>
                <w:rFonts w:hint="default" w:ascii="Times New Roman" w:hAnsi="Times New Roman" w:eastAsia="仿宋_GB2312" w:cs="Times New Roman"/>
                <w:sz w:val="21"/>
                <w:szCs w:val="21"/>
                <w:highlight w:val="none"/>
                <w:lang w:val="en-US" w:eastAsia="zh-CN" w:bidi="ar"/>
              </w:rPr>
              <w:t>~</w:t>
            </w:r>
            <w:r>
              <w:rPr>
                <w:rStyle w:val="35"/>
                <w:rFonts w:hint="default" w:ascii="Times New Roman" w:hAnsi="Times New Roman" w:eastAsia="仿宋_GB2312" w:cs="Times New Roman"/>
                <w:sz w:val="21"/>
                <w:szCs w:val="21"/>
                <w:highlight w:val="none"/>
                <w:lang w:val="en-US" w:eastAsia="zh-CN" w:bidi="ar"/>
              </w:rPr>
              <w:t>2米或更长，可拼接</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⑶</w:t>
            </w:r>
            <w:r>
              <w:rPr>
                <w:rStyle w:val="35"/>
                <w:rFonts w:hint="default" w:ascii="Times New Roman" w:hAnsi="Times New Roman" w:eastAsia="仿宋_GB2312" w:cs="Times New Roman"/>
                <w:sz w:val="21"/>
                <w:szCs w:val="21"/>
                <w:highlight w:val="none"/>
                <w:lang w:val="en-US" w:eastAsia="zh-CN" w:bidi="ar"/>
              </w:rPr>
              <w:t>分率:1cm</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⑷</w:t>
            </w:r>
            <w:r>
              <w:rPr>
                <w:rStyle w:val="35"/>
                <w:rFonts w:hint="default" w:ascii="Times New Roman" w:hAnsi="Times New Roman" w:eastAsia="仿宋_GB2312" w:cs="Times New Roman"/>
                <w:sz w:val="21"/>
                <w:szCs w:val="21"/>
                <w:highlight w:val="none"/>
                <w:lang w:val="en-US" w:eastAsia="zh-CN" w:bidi="ar"/>
              </w:rPr>
              <w:t>水准点联标:从国家高程点引至新建的水准点</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⑸</w:t>
            </w:r>
            <w:r>
              <w:rPr>
                <w:rStyle w:val="35"/>
                <w:rFonts w:hint="default" w:ascii="Times New Roman" w:hAnsi="Times New Roman" w:eastAsia="仿宋_GB2312" w:cs="Times New Roman"/>
                <w:sz w:val="21"/>
                <w:szCs w:val="21"/>
                <w:highlight w:val="none"/>
                <w:lang w:val="en-US" w:eastAsia="zh-CN" w:bidi="ar"/>
              </w:rPr>
              <w:t>水尺规格:1000m</w:t>
            </w:r>
            <w:r>
              <w:rPr>
                <w:rStyle w:val="39"/>
                <w:rFonts w:hint="default" w:ascii="Times New Roman" w:hAnsi="Times New Roman" w:eastAsia="仿宋_GB2312" w:cs="Times New Roman"/>
                <w:sz w:val="21"/>
                <w:szCs w:val="21"/>
                <w:highlight w:val="none"/>
                <w:lang w:val="en-US" w:eastAsia="zh-CN" w:bidi="ar"/>
              </w:rPr>
              <w:t>×</w:t>
            </w:r>
            <w:r>
              <w:rPr>
                <w:rStyle w:val="35"/>
                <w:rFonts w:hint="default" w:ascii="Times New Roman" w:hAnsi="Times New Roman" w:eastAsia="仿宋_GB2312" w:cs="Times New Roman"/>
                <w:sz w:val="21"/>
                <w:szCs w:val="21"/>
                <w:highlight w:val="none"/>
                <w:lang w:val="en-US" w:eastAsia="zh-CN" w:bidi="ar"/>
              </w:rPr>
              <w:t>80mm</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⑹</w:t>
            </w:r>
            <w:r>
              <w:rPr>
                <w:rStyle w:val="35"/>
                <w:rFonts w:hint="default" w:ascii="Times New Roman" w:hAnsi="Times New Roman" w:eastAsia="仿宋_GB2312" w:cs="Times New Roman"/>
                <w:sz w:val="21"/>
                <w:szCs w:val="21"/>
                <w:highlight w:val="none"/>
                <w:lang w:val="en-US" w:eastAsia="zh-CN" w:bidi="ar"/>
              </w:rPr>
              <w:t>必要配件:混凝上基础、支架配件、加厚PVC立柱、镀锌钢管桩等</w:t>
            </w:r>
          </w:p>
        </w:tc>
      </w:tr>
      <w:tr w14:paraId="3518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7827CD1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26</w:t>
            </w:r>
          </w:p>
        </w:tc>
        <w:tc>
          <w:tcPr>
            <w:tcW w:w="0" w:type="auto"/>
            <w:shd w:val="clear" w:color="auto" w:fill="auto"/>
            <w:vAlign w:val="center"/>
          </w:tcPr>
          <w:p w14:paraId="1EB9669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RTU</w:t>
            </w:r>
          </w:p>
        </w:tc>
        <w:tc>
          <w:tcPr>
            <w:tcW w:w="0" w:type="auto"/>
            <w:shd w:val="clear" w:color="auto" w:fill="auto"/>
            <w:vAlign w:val="center"/>
          </w:tcPr>
          <w:p w14:paraId="3C7E1818">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⑴</w:t>
            </w:r>
            <w:r>
              <w:rPr>
                <w:rStyle w:val="35"/>
                <w:rFonts w:hint="default" w:ascii="Times New Roman" w:hAnsi="Times New Roman" w:eastAsia="仿宋_GB2312" w:cs="Times New Roman"/>
                <w:sz w:val="21"/>
                <w:szCs w:val="21"/>
                <w:highlight w:val="none"/>
                <w:lang w:val="en-US" w:eastAsia="zh-CN" w:bidi="ar"/>
              </w:rPr>
              <w:t>工作模式:支持自报式、查询-应答式及兼容式</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⑵</w:t>
            </w:r>
            <w:r>
              <w:rPr>
                <w:rStyle w:val="35"/>
                <w:rFonts w:hint="default" w:ascii="Times New Roman" w:hAnsi="Times New Roman" w:eastAsia="仿宋_GB2312" w:cs="Times New Roman"/>
                <w:sz w:val="21"/>
                <w:szCs w:val="21"/>
                <w:highlight w:val="none"/>
                <w:lang w:val="en-US" w:eastAsia="zh-CN" w:bidi="ar"/>
              </w:rPr>
              <w:t>通信方式:支持4G全网通、支持北斗卫星通信、VHF扩展、具备一站多发功能</w:t>
            </w:r>
            <w:r>
              <w:rPr>
                <w:rStyle w:val="35"/>
                <w:rFonts w:hint="default" w:ascii="Times New Roman" w:hAnsi="Times New Roman" w:eastAsia="仿宋_GB2312" w:cs="Times New Roman"/>
                <w:sz w:val="21"/>
                <w:szCs w:val="21"/>
                <w:highlight w:val="none"/>
                <w:lang w:val="en-US" w:eastAsia="zh-CN" w:bidi="ar"/>
              </w:rPr>
              <w:br w:type="textWrapping"/>
            </w:r>
            <w:r>
              <w:rPr>
                <w:rStyle w:val="35"/>
                <w:rFonts w:hint="default" w:ascii="Times New Roman" w:hAnsi="Times New Roman" w:eastAsia="仿宋_GB2312" w:cs="Times New Roman"/>
                <w:sz w:val="21"/>
                <w:szCs w:val="21"/>
                <w:highlight w:val="none"/>
                <w:lang w:val="en-US" w:eastAsia="zh-CN" w:bidi="ar"/>
              </w:rPr>
              <w:t>通信协议:支持《水文监测数据通信规约》(SL651-2014)</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⑶</w:t>
            </w:r>
            <w:r>
              <w:rPr>
                <w:rStyle w:val="35"/>
                <w:rFonts w:hint="default" w:ascii="Times New Roman" w:hAnsi="Times New Roman" w:eastAsia="仿宋_GB2312" w:cs="Times New Roman"/>
                <w:sz w:val="21"/>
                <w:szCs w:val="21"/>
                <w:highlight w:val="none"/>
                <w:lang w:val="en-US" w:eastAsia="zh-CN" w:bidi="ar"/>
              </w:rPr>
              <w:t>数据存储:内置大容量固态存储器(≥8MB)，支持现场/远程读取</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⑷</w:t>
            </w:r>
            <w:r>
              <w:rPr>
                <w:rStyle w:val="35"/>
                <w:rFonts w:hint="default" w:ascii="Times New Roman" w:hAnsi="Times New Roman" w:eastAsia="仿宋_GB2312" w:cs="Times New Roman"/>
                <w:sz w:val="21"/>
                <w:szCs w:val="21"/>
                <w:highlight w:val="none"/>
                <w:lang w:val="en-US" w:eastAsia="zh-CN" w:bidi="ar"/>
              </w:rPr>
              <w:t>接口类型:至少3路RS485、3路RS232、4路4~20mA、4路D1、4路D0</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⑸</w:t>
            </w:r>
            <w:r>
              <w:rPr>
                <w:rStyle w:val="35"/>
                <w:rFonts w:hint="default" w:ascii="Times New Roman" w:hAnsi="Times New Roman" w:eastAsia="仿宋_GB2312" w:cs="Times New Roman"/>
                <w:sz w:val="21"/>
                <w:szCs w:val="21"/>
                <w:highlight w:val="none"/>
                <w:lang w:val="en-US" w:eastAsia="zh-CN" w:bidi="ar"/>
              </w:rPr>
              <w:t>功耗要求:静态值守电流</w:t>
            </w:r>
            <w:r>
              <w:rPr>
                <w:rStyle w:val="38"/>
                <w:rFonts w:hint="default" w:ascii="Times New Roman" w:hAnsi="Times New Roman" w:eastAsia="仿宋_GB2312" w:cs="Times New Roman"/>
                <w:sz w:val="21"/>
                <w:szCs w:val="21"/>
                <w:highlight w:val="none"/>
                <w:lang w:val="en-US" w:eastAsia="zh-CN" w:bidi="ar"/>
              </w:rPr>
              <w:t>&lt;</w:t>
            </w:r>
            <w:r>
              <w:rPr>
                <w:rStyle w:val="35"/>
                <w:rFonts w:hint="default" w:ascii="Times New Roman" w:hAnsi="Times New Roman" w:eastAsia="仿宋_GB2312" w:cs="Times New Roman"/>
                <w:sz w:val="21"/>
                <w:szCs w:val="21"/>
                <w:highlight w:val="none"/>
                <w:lang w:val="en-US" w:eastAsia="zh-CN" w:bidi="ar"/>
              </w:rPr>
              <w:t>0.5mA@12V;工作电流</w:t>
            </w:r>
            <w:r>
              <w:rPr>
                <w:rStyle w:val="38"/>
                <w:rFonts w:hint="default" w:ascii="Times New Roman" w:hAnsi="Times New Roman" w:eastAsia="仿宋_GB2312" w:cs="Times New Roman"/>
                <w:sz w:val="21"/>
                <w:szCs w:val="21"/>
                <w:highlight w:val="none"/>
                <w:lang w:val="en-US" w:eastAsia="zh-CN" w:bidi="ar"/>
              </w:rPr>
              <w:t>&lt;</w:t>
            </w:r>
            <w:r>
              <w:rPr>
                <w:rStyle w:val="35"/>
                <w:rFonts w:hint="default" w:ascii="Times New Roman" w:hAnsi="Times New Roman" w:eastAsia="仿宋_GB2312" w:cs="Times New Roman"/>
                <w:sz w:val="21"/>
                <w:szCs w:val="21"/>
                <w:highlight w:val="none"/>
                <w:lang w:val="en-US" w:eastAsia="zh-CN" w:bidi="ar"/>
              </w:rPr>
              <w:t>50mA@12V</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⑹</w:t>
            </w:r>
            <w:r>
              <w:rPr>
                <w:rStyle w:val="35"/>
                <w:rFonts w:hint="default" w:ascii="Times New Roman" w:hAnsi="Times New Roman" w:eastAsia="仿宋_GB2312" w:cs="Times New Roman"/>
                <w:sz w:val="21"/>
                <w:szCs w:val="21"/>
                <w:highlight w:val="none"/>
                <w:lang w:val="en-US" w:eastAsia="zh-CN" w:bidi="ar"/>
              </w:rPr>
              <w:t>定位功能:内置GPS/北斗,水平定位精度≤2.5m(CEP50)</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⑺</w:t>
            </w:r>
            <w:r>
              <w:rPr>
                <w:rStyle w:val="35"/>
                <w:rFonts w:hint="default" w:ascii="Times New Roman" w:hAnsi="Times New Roman" w:eastAsia="仿宋_GB2312" w:cs="Times New Roman"/>
                <w:sz w:val="21"/>
                <w:szCs w:val="21"/>
                <w:highlight w:val="none"/>
                <w:lang w:val="en-US" w:eastAsia="zh-CN" w:bidi="ar"/>
              </w:rPr>
              <w:t>配置方式:支持本地液晶、蓝牙APP、远程平台配置及固件升级</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⑻</w:t>
            </w:r>
            <w:r>
              <w:rPr>
                <w:rStyle w:val="35"/>
                <w:rFonts w:hint="default" w:ascii="Times New Roman" w:hAnsi="Times New Roman" w:eastAsia="仿宋_GB2312" w:cs="Times New Roman"/>
                <w:sz w:val="21"/>
                <w:szCs w:val="21"/>
                <w:highlight w:val="none"/>
                <w:lang w:val="en-US" w:eastAsia="zh-CN" w:bidi="ar"/>
              </w:rPr>
              <w:t>工作温度:-40°C ~+75°C</w:t>
            </w:r>
            <w:r>
              <w:rPr>
                <w:rStyle w:val="35"/>
                <w:rFonts w:hint="default" w:ascii="Times New Roman" w:hAnsi="Times New Roman" w:eastAsia="仿宋_GB2312" w:cs="Times New Roman"/>
                <w:sz w:val="21"/>
                <w:szCs w:val="21"/>
                <w:highlight w:val="none"/>
                <w:lang w:val="en-US" w:eastAsia="zh-CN" w:bidi="ar"/>
              </w:rPr>
              <w:br w:type="textWrapping"/>
            </w:r>
            <w:r>
              <w:rPr>
                <w:rStyle w:val="38"/>
                <w:rFonts w:hint="default" w:ascii="Times New Roman" w:hAnsi="Times New Roman" w:eastAsia="仿宋_GB2312" w:cs="Times New Roman"/>
                <w:sz w:val="21"/>
                <w:szCs w:val="21"/>
                <w:highlight w:val="none"/>
                <w:lang w:val="en-US" w:eastAsia="zh-CN" w:bidi="ar"/>
              </w:rPr>
              <w:t>⑼</w:t>
            </w:r>
            <w:r>
              <w:rPr>
                <w:rStyle w:val="35"/>
                <w:rFonts w:hint="default" w:ascii="Times New Roman" w:hAnsi="Times New Roman" w:eastAsia="仿宋_GB2312" w:cs="Times New Roman"/>
                <w:sz w:val="21"/>
                <w:szCs w:val="21"/>
                <w:highlight w:val="none"/>
                <w:lang w:val="en-US" w:eastAsia="zh-CN" w:bidi="ar"/>
              </w:rPr>
              <w:t>防护等级:不低于IP68</w:t>
            </w:r>
          </w:p>
        </w:tc>
      </w:tr>
      <w:tr w14:paraId="576E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640E8EC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27</w:t>
            </w:r>
          </w:p>
        </w:tc>
        <w:tc>
          <w:tcPr>
            <w:tcW w:w="0" w:type="auto"/>
            <w:shd w:val="clear" w:color="auto" w:fill="auto"/>
            <w:vAlign w:val="center"/>
          </w:tcPr>
          <w:p w14:paraId="0808FDC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全自动雷达波设备</w:t>
            </w:r>
          </w:p>
        </w:tc>
        <w:tc>
          <w:tcPr>
            <w:tcW w:w="0" w:type="auto"/>
            <w:shd w:val="clear" w:color="auto" w:fill="auto"/>
            <w:vAlign w:val="center"/>
          </w:tcPr>
          <w:p w14:paraId="636DA67D">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1、雷达传感器</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流速测量精度:不低于±0.03m/s; 流速测量范围:不低于0.2~18m/s; 流速测速原理:多普勒频移技术； 流速采样速率:5次/秒；最大测程:100m; 波束宽度:12</w:t>
            </w:r>
            <w:r>
              <w:rPr>
                <w:rStyle w:val="40"/>
                <w:rFonts w:hint="default" w:ascii="Times New Roman" w:hAnsi="Times New Roman" w:eastAsia="仿宋_GB2312" w:cs="Times New Roman"/>
                <w:sz w:val="21"/>
                <w:szCs w:val="21"/>
                <w:highlight w:val="none"/>
                <w:lang w:val="en-US" w:eastAsia="zh-CN" w:bidi="ar"/>
              </w:rPr>
              <w:t>⁰</w:t>
            </w:r>
            <w:r>
              <w:rPr>
                <w:rStyle w:val="32"/>
                <w:rFonts w:hint="default" w:ascii="Times New Roman" w:hAnsi="Times New Roman" w:eastAsia="仿宋_GB2312" w:cs="Times New Roman"/>
                <w:sz w:val="21"/>
                <w:szCs w:val="21"/>
                <w:highlight w:val="none"/>
                <w:lang w:val="en-US" w:eastAsia="zh-CN" w:bidi="ar"/>
              </w:rPr>
              <w:t xml:space="preserve">: 测速历时:5~100s: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工作温度范围:≥-30℃~+70℃; 保存温度范围:≥-40℃~+70℃; </w:t>
            </w:r>
            <w:r>
              <w:rPr>
                <w:rStyle w:val="41"/>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传感器数据模式:具有3种模式，可进行设置；包括当前(瞬间) 流速；设备ID-强度-平均时间-当前流速-当前平均流速-前一个平均流速；设备ID-当前流速-当前滑动平均流速；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防护等级:≥IP68</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2、步进电机及转动轮子</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行驶速度0~60m/分钟； 爬坡角度:大于30度定位精度:不低于0.5%;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无线频率:约470MHz(免频率许可)； 通信距离:≥1000m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移动式充电触点:停泊点:利用固定在墙面的弹簧探针，实现停泊和自动充电。每次完成测流返回室内停泊点时，弹簧探针与强磁芯体吸合，复位起点距；雷达波定位测验流速仪应对准测量断面选择合活的角度安装。 雷达测速仪波束应对准测量断面内有代表性的测验点以便获得较接近实际的数据。 安装测速仪时注意水流流向。</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3、测流控制器</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测站遥测数据终端(RTU)应集数据采集、处理、 传输、监控于一体，具有功能强、可靠性高等特点。 基本条件符合“SL/T180-2015水文自动测报系统设备遥测终端机”和“SL149-2013水文数据固态存收集系统通用技术条件”。 接口配置:标配雨量脉冲接口、12位并行数字口、 RS485/SDI-12串口；≥12位高精度模拟量输入(4~20mA/1~5V,误差≤0.05%);≥4路开关量输出、≥3路标准RS-232C通讯口，支持多信道主备自动切换。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存储与数据读取:非易失性存储≥2M,可存储超1 年采集数据；支持本地U盘/电脑读取、中心站GPRS远程下载。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功耗与运行控制:静态工作电流≤2mA,支持微功耗休眠、多方式唤醒；支持本地/远程参数配置、编程设模式、远程诊断及程序升级，软硬件看门狗异常自恢复。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通讯与时序可靠性；支持短信召测、远程拨号唤醒查询；内置实时钟多信道自动校时；平均无故障时间≥25000h,可无人值守长期稳定运行。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技术指标: 工作电压:标称12VDC(11-18VDC); 工作电流:待机时小于2mA;工作时小于10mA(LCD关闭)； 高精度实时时钟，年误差小于5分钟； 控制器内存容量:64M,U盘数据下载； 机箱内部包含信号避雷器；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工作温度范围:≥-25℃~+70℃(带液晶)，≥-40℃~+70℃(不带液晶)含300米配电电缆。</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4、通信模块</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支持全网通(4G/3G/2G)、北斗通信、有线通信； 串行数据接口:具备2个以上串口，其中通讯串口≥1个(可选RS-232/RS-485/RS-422/TTL); 支持PPP、TCP/IP协议栈；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通讯方式:支持透明TCP/UDP/SMS, DDP+TCP/UDP/SMS等多种通讯方式。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数据通道:支持多通道同时在线、数据和短信通道互备份、数据和数据互备份。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定时上下线:支持定时上下线功能，可通过电话、 短信、数据等方式唤醒设备上线。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工作电压:支持至少10~15VDC; 值守电流:空闲≤50mA;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5、测流软件平台</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设置功能:可进行站号、增量随机自报限值、定时报段次、测站时钟、水位基值等设置。 数据采集功能:有多种(开关量、数字量、模拟量等)传感器接口，能自动采集水位信息。 固态存储功能:按照测站不同观测时段的要求，实时存贮测站水雨情数据。数据存储格式应满足《水文资料整编规范》的要求。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具有多种通信接口:可选用GSM/GPRS/卫星通信中的任意两种组成主备式数据通信传输网，当主信道发送失败时，可自动切换到备用信道发送，可支持向4个分中心发送数据。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具有事件或定时自报、定时或随机查询应答等工作方式。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具有“加报”功能:在一定时间隔内，当水位变化或雨量变化超过设定值时主动启动通信链路发送。 具有现场和远地编程功能:可在现场和远地设置工作参数，改变测站数据传输路径。 </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 xml:space="preserve">响应召测功能:根据中心站发送的召测指令，将测站采集的当前值，或过去的记录值，或所有已存储的数据通过指定的信道或指定的路径发送。 具有工况报告功能。投标涉及的水文雷达产品通过国家无线电管理要求，持有由工业和信息化部颁发的覆盖所投产品型号的《无线电发射设备型号核准证》。(提供有效的核准证复印件及工业和信息化部无线电型号核准查询官方网站的查询结果截图加盖公章。截图应包含查询网址、证书编号、设备型号、核准状态等关键信息。) </w:t>
            </w:r>
          </w:p>
        </w:tc>
      </w:tr>
      <w:tr w14:paraId="5BEC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73C26D9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28</w:t>
            </w:r>
          </w:p>
        </w:tc>
        <w:tc>
          <w:tcPr>
            <w:tcW w:w="0" w:type="auto"/>
            <w:shd w:val="clear" w:color="auto" w:fill="auto"/>
            <w:vAlign w:val="center"/>
          </w:tcPr>
          <w:p w14:paraId="0F3ECF5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展示屏</w:t>
            </w:r>
          </w:p>
        </w:tc>
        <w:tc>
          <w:tcPr>
            <w:tcW w:w="0" w:type="auto"/>
            <w:shd w:val="clear" w:color="auto" w:fill="auto"/>
            <w:vAlign w:val="center"/>
          </w:tcPr>
          <w:p w14:paraId="47BD8E8D">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85英寸商用液晶显示屏，16:9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4K分辨率3840×2160;亮度≥350cd/m2,可视角度≥178</w:t>
            </w:r>
            <w:r>
              <w:rPr>
                <w:rStyle w:val="43"/>
                <w:rFonts w:hint="default" w:ascii="Times New Roman" w:hAnsi="Times New Roman" w:eastAsia="仿宋_GB2312" w:cs="Times New Roman"/>
                <w:sz w:val="21"/>
                <w:szCs w:val="21"/>
                <w:highlight w:val="none"/>
                <w:lang w:val="en-US" w:eastAsia="zh-CN" w:bidi="ar"/>
              </w:rPr>
              <w:t>⁰</w:t>
            </w:r>
            <w:r>
              <w:rPr>
                <w:rStyle w:val="35"/>
                <w:rFonts w:hint="default" w:ascii="Times New Roman" w:hAnsi="Times New Roman" w:eastAsia="仿宋_GB2312" w:cs="Times New Roman"/>
                <w:sz w:val="21"/>
                <w:szCs w:val="21"/>
                <w:highlight w:val="none"/>
                <w:lang w:val="en-US" w:eastAsia="zh-CN" w:bidi="ar"/>
              </w:rPr>
              <w:t>;配备HDMI2.0、USB、网口、RS232 串口，支持后台集中控制；支持7×24小时不间断运行；适配水雨情、视频监控画面展示；支持壁挂安装，具备过流、过压保护，原厂整机质保。</w:t>
            </w:r>
          </w:p>
        </w:tc>
      </w:tr>
      <w:tr w14:paraId="188E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362AD9E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29</w:t>
            </w:r>
          </w:p>
        </w:tc>
        <w:tc>
          <w:tcPr>
            <w:tcW w:w="0" w:type="auto"/>
            <w:shd w:val="clear" w:color="auto" w:fill="auto"/>
            <w:vAlign w:val="center"/>
          </w:tcPr>
          <w:p w14:paraId="665C6C2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系统集成</w:t>
            </w:r>
          </w:p>
        </w:tc>
        <w:tc>
          <w:tcPr>
            <w:tcW w:w="0" w:type="auto"/>
            <w:shd w:val="clear" w:color="auto" w:fill="auto"/>
            <w:vAlign w:val="center"/>
          </w:tcPr>
          <w:p w14:paraId="75EBDFED">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系统集成聚焦水位计与式视频监视硬件设系统集备，实现硬件设备与己有平台的无缝对接；将采集的数据按照用户要求接入现有平台系统；建立完善的设备运维管理体系，实行定期巡检、校准养护、故障应急及备件保障一体化管理。</w:t>
            </w:r>
          </w:p>
        </w:tc>
      </w:tr>
      <w:tr w14:paraId="753F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662DF02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30</w:t>
            </w:r>
          </w:p>
        </w:tc>
        <w:tc>
          <w:tcPr>
            <w:tcW w:w="1253" w:type="dxa"/>
            <w:shd w:val="clear" w:color="auto" w:fill="auto"/>
            <w:vAlign w:val="center"/>
          </w:tcPr>
          <w:p w14:paraId="4E8218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仿宋_GB2312" w:cs="Times New Roman"/>
                <w:color w:val="auto"/>
                <w:sz w:val="21"/>
                <w:szCs w:val="21"/>
                <w:highlight w:val="none"/>
                <w:vertAlign w:val="baseline"/>
                <w:lang w:val="en-US" w:eastAsia="zh-CN" w:bidi="ar-SA"/>
              </w:rPr>
            </w:pPr>
            <w:r>
              <w:rPr>
                <w:rFonts w:hint="default" w:ascii="Times New Roman" w:hAnsi="Times New Roman" w:eastAsia="仿宋_GB2312" w:cs="Times New Roman"/>
                <w:color w:val="auto"/>
                <w:sz w:val="21"/>
                <w:szCs w:val="21"/>
                <w:highlight w:val="none"/>
                <w:vertAlign w:val="baseline"/>
                <w:lang w:val="en-US" w:eastAsia="zh-CN"/>
              </w:rPr>
              <w:t>NAS存储</w:t>
            </w:r>
          </w:p>
        </w:tc>
        <w:tc>
          <w:tcPr>
            <w:tcW w:w="7954" w:type="dxa"/>
            <w:shd w:val="clear" w:color="auto" w:fill="auto"/>
            <w:vAlign w:val="center"/>
          </w:tcPr>
          <w:p w14:paraId="62A292D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imes New Roman" w:hAnsi="Times New Roman" w:eastAsia="仿宋_GB2312" w:cs="Times New Roman"/>
                <w:color w:val="auto"/>
                <w:sz w:val="21"/>
                <w:szCs w:val="21"/>
                <w:highlight w:val="none"/>
                <w:vertAlign w:val="baseline"/>
                <w:lang w:val="en-US" w:eastAsia="zh-CN" w:bidi="ar-SA"/>
              </w:rPr>
            </w:pPr>
            <w:r>
              <w:rPr>
                <w:rFonts w:hint="default" w:ascii="Times New Roman" w:hAnsi="Times New Roman" w:eastAsia="仿宋_GB2312" w:cs="Times New Roman"/>
                <w:color w:val="auto"/>
                <w:sz w:val="21"/>
                <w:szCs w:val="21"/>
                <w:highlight w:val="none"/>
                <w:vertAlign w:val="baseline"/>
              </w:rPr>
              <w:t>承载非结构化数据，支持CIFS/NFS/FTP等主流文件协议，提供高性能文件共享与全局统一命名空间；支持PB级容量弹性扩展，内置文件快照与异步复制，兼容NDMP备份协议，满足海量文件的存储、共享与归档需求</w:t>
            </w:r>
            <w:r>
              <w:rPr>
                <w:rFonts w:hint="eastAsia" w:ascii="Times New Roman" w:hAnsi="Times New Roman" w:eastAsia="仿宋_GB2312" w:cs="Times New Roman"/>
                <w:color w:val="auto"/>
                <w:sz w:val="21"/>
                <w:szCs w:val="21"/>
                <w:highlight w:val="none"/>
                <w:vertAlign w:val="baseline"/>
                <w:lang w:eastAsia="zh-CN"/>
              </w:rPr>
              <w:t>。</w:t>
            </w:r>
          </w:p>
        </w:tc>
      </w:tr>
      <w:tr w14:paraId="27E8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04D290C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31</w:t>
            </w:r>
          </w:p>
        </w:tc>
        <w:tc>
          <w:tcPr>
            <w:tcW w:w="0" w:type="auto"/>
            <w:shd w:val="clear" w:color="auto" w:fill="auto"/>
            <w:vAlign w:val="center"/>
          </w:tcPr>
          <w:p w14:paraId="45AC9B1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视频测流设备</w:t>
            </w:r>
          </w:p>
        </w:tc>
        <w:tc>
          <w:tcPr>
            <w:tcW w:w="0" w:type="auto"/>
            <w:shd w:val="clear" w:color="auto" w:fill="auto"/>
            <w:vAlign w:val="center"/>
          </w:tcPr>
          <w:p w14:paraId="424B8FB4">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1、视频测流不低于400w像素</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设备出厂完成内参标定，再根据实际场景完成外参标定，构建世界坐标系</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经过畸变矫正，全焦段无畸变</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视频压缩:支持H.265/H.264/MJPEG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支持ONVIF、ISAPI、GB/T28181接入</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电源供应:DC:12V+20% 防护等级:≥IP66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符合智能边缘计算网关适配要求</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2、智能边缘计算网关</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CPU:不低于4核64位处理器，主频≥1.9GHz; 内存:≥4G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基础存储:≥1T 支持市电及太阳能供电系统；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终端机满足《水文自动测报系统设备遥测终端机SL180-2015》 数据传输遵循《水文监测数据通信规约SL651-2014》数据传输符合《SZY206-2016水资源监测数据传输规约》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路由模块:支持有线+4G全网通+Wi-Fi双模冗余，内置VPN组网功能</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电源控制模块:支持远程控制，具备状态反馈功能</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显示模块:7英寸嵌入式串口屏，支持触摸</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数据展示模块:水文信息(水位、流速、流量等)；工况信息(设备在线情况、CPU使用率等)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RS485接口:带4个4P凤凰端子，带12V供电</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网络接口:1个WAN口+2个LAN口+1个ETHO口(支持内外网共存)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提供不少于5份由所投产品最终使用单位出具的投产使用或验收证明材料扫描件，用以佐证所投产品的成熟度及应用认可度。所有扫描件须内容完整、清晰可辨且真实有效。 </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产品经过水利部设立的水文仪器检测中心检测，并提供符合产品技术参数的检测报告。</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3、视频测流系统平台功能</w:t>
            </w:r>
            <w:r>
              <w:rPr>
                <w:rStyle w:val="32"/>
                <w:rFonts w:hint="default" w:ascii="Times New Roman" w:hAnsi="Times New Roman" w:eastAsia="仿宋_GB2312" w:cs="Times New Roman"/>
                <w:sz w:val="21"/>
                <w:szCs w:val="21"/>
                <w:highlight w:val="none"/>
                <w:lang w:val="en-US" w:eastAsia="zh-CN" w:bidi="ar"/>
              </w:rPr>
              <w:br w:type="textWrapping"/>
            </w:r>
            <w:r>
              <w:rPr>
                <w:rStyle w:val="32"/>
                <w:rFonts w:hint="default" w:ascii="Times New Roman" w:hAnsi="Times New Roman" w:eastAsia="仿宋_GB2312" w:cs="Times New Roman"/>
                <w:sz w:val="21"/>
                <w:szCs w:val="21"/>
                <w:highlight w:val="none"/>
                <w:lang w:val="en-US" w:eastAsia="zh-CN" w:bidi="ar"/>
              </w:rPr>
              <w:t>视觉测流系统是测站水位、流速、流量监测数据展示终端和分析平台，系统支持私有化部署，系统功能包括GIS一张图、站点管理、实时视频展示、历史数据回溯、手动加测、流量超限预警、设备离线报警等功能。 (可提供CNAS或CMA盖章的功能检测报告)； 支持GIS一张图，展示站点位置、最新的数据、设备状态及告警信息，支持自定义水位、流速、流量告警阈值: 实时测流数据监测:支持实时视频查看，实时测流数据展示； 支持成果数据管理:支持年/月水量数据统计，单次测验数据按照《图像识别法河流流量测验规范》 T-CHES99-2023中要求的数据格式导出，支持批量流量成果数据导出，批量测速线数据导出； 历史数据分析:支持历史测次的视频回溯查看和下载，历史测次的表面流速数据展示，历史测次的断面图展示； 支持断面数据管理:支持断面数据导入、导出，历史断面管理和对比分析，在线更新断面数据到设备端支持手动加测:选取需要加测时间和对应时间水位数据，支持选择某个断面进行加测，可根据需要进行调整视频时长； 支持站点基本信息管理，展示站点详细信息，支持站点基本信息修改、河流水系、水位信息等； 支持设备管理，支持设置不同水位级下休眠，支持补光灯常开、常闭、即开即用三种工作模式；支持北斗模块设置、外接水位计设置；测流设备支持多设备同时计算，支持根据水位/时间路由规则选择对应的设备输出结果； 成果数据支持《水文监测数据通信规约SL651-2014》《SZY2 06-20 16水资源监测数据传输规约》 向第三方平台传输，支持数据自动补发功能； 支持权限分配及用户管理。</w:t>
            </w:r>
          </w:p>
        </w:tc>
      </w:tr>
      <w:tr w14:paraId="3CDE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7007D46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000000"/>
                <w:kern w:val="0"/>
                <w:sz w:val="21"/>
                <w:szCs w:val="21"/>
                <w:highlight w:val="none"/>
                <w:lang w:val="en-US" w:eastAsia="zh-CN"/>
              </w:rPr>
              <w:t>32</w:t>
            </w:r>
          </w:p>
        </w:tc>
        <w:tc>
          <w:tcPr>
            <w:tcW w:w="1253" w:type="dxa"/>
            <w:shd w:val="clear" w:color="auto" w:fill="auto"/>
            <w:vAlign w:val="center"/>
          </w:tcPr>
          <w:p w14:paraId="5D1C0F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auto"/>
                <w:sz w:val="21"/>
                <w:szCs w:val="21"/>
                <w:highlight w:val="none"/>
                <w:vertAlign w:val="baseline"/>
                <w:lang w:val="en-US" w:eastAsia="zh-CN"/>
              </w:rPr>
              <w:t>分布式存储（分布式文件）</w:t>
            </w:r>
          </w:p>
        </w:tc>
        <w:tc>
          <w:tcPr>
            <w:tcW w:w="7954" w:type="dxa"/>
            <w:shd w:val="clear" w:color="auto" w:fill="auto"/>
            <w:vAlign w:val="center"/>
          </w:tcPr>
          <w:p w14:paraId="51E115B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imes New Roman" w:hAnsi="Times New Roman" w:eastAsia="仿宋_GB2312" w:cs="Times New Roman"/>
                <w:color w:val="000000"/>
                <w:kern w:val="0"/>
                <w:sz w:val="21"/>
                <w:szCs w:val="21"/>
                <w:highlight w:val="none"/>
                <w:lang w:val="en-US" w:eastAsia="zh-CN" w:bidi="ar-SA"/>
              </w:rPr>
            </w:pPr>
            <w:r>
              <w:rPr>
                <w:rFonts w:hint="default" w:ascii="Times New Roman" w:hAnsi="Times New Roman" w:eastAsia="仿宋_GB2312" w:cs="Times New Roman"/>
                <w:color w:val="auto"/>
                <w:sz w:val="21"/>
                <w:szCs w:val="21"/>
                <w:highlight w:val="none"/>
                <w:vertAlign w:val="baseline"/>
              </w:rPr>
              <w:t>面向三维模型库、工程仿真文件、高清场景素材、AI训练数据集等大文件场景，提供高性能文件级存储与共享服务；原生支持CIFS、NFS、FTP、POSIX标准文件协议，搭载自研并行文件系统，实现多节点高带宽并行读写；提供全局统一命名空间，支持PB级容量平滑横向扩展</w:t>
            </w:r>
            <w:r>
              <w:rPr>
                <w:rFonts w:hint="eastAsia" w:ascii="Times New Roman" w:hAnsi="Times New Roman" w:eastAsia="仿宋_GB2312" w:cs="Times New Roman"/>
                <w:color w:val="auto"/>
                <w:sz w:val="21"/>
                <w:szCs w:val="21"/>
                <w:highlight w:val="none"/>
                <w:vertAlign w:val="baseline"/>
                <w:lang w:eastAsia="zh-CN"/>
              </w:rPr>
              <w:t>。</w:t>
            </w:r>
          </w:p>
        </w:tc>
      </w:tr>
      <w:tr w14:paraId="52E0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04D9AB3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33</w:t>
            </w:r>
          </w:p>
        </w:tc>
        <w:tc>
          <w:tcPr>
            <w:tcW w:w="1253" w:type="dxa"/>
            <w:shd w:val="clear" w:color="auto" w:fill="auto"/>
            <w:vAlign w:val="center"/>
          </w:tcPr>
          <w:p w14:paraId="0DCC8B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分布式存储（分布式对象）</w:t>
            </w:r>
          </w:p>
        </w:tc>
        <w:tc>
          <w:tcPr>
            <w:tcW w:w="7954" w:type="dxa"/>
            <w:shd w:val="clear" w:color="auto" w:fill="auto"/>
            <w:vAlign w:val="center"/>
          </w:tcPr>
          <w:p w14:paraId="302B963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imes New Roman" w:hAnsi="Times New Roman" w:eastAsia="仿宋_GB2312" w:cs="Times New Roman"/>
                <w:color w:val="000000" w:themeColor="text1"/>
                <w:sz w:val="21"/>
                <w:szCs w:val="21"/>
                <w:highlight w:val="none"/>
                <w:vertAlign w:val="baseline"/>
                <w:lang w:eastAsia="zh-CN"/>
                <w14:textFill>
                  <w14:solidFill>
                    <w14:schemeClr w14:val="tx1"/>
                  </w14:solidFill>
                </w14:textFill>
              </w:rPr>
            </w:pPr>
            <w:r>
              <w:rPr>
                <w:rFonts w:hint="default" w:ascii="Times New Roman" w:hAnsi="Times New Roman" w:eastAsia="仿宋_GB2312" w:cs="Times New Roman"/>
                <w:color w:val="000000" w:themeColor="text1"/>
                <w:sz w:val="21"/>
                <w:szCs w:val="21"/>
                <w:highlight w:val="none"/>
                <w:vertAlign w:val="baseline"/>
                <w14:textFill>
                  <w14:solidFill>
                    <w14:schemeClr w14:val="tx1"/>
                  </w14:solidFill>
                </w14:textFill>
              </w:rPr>
              <w:t>承载全生命周期历史数据、运行日志、影像资料、归档数据集等海量非结构化数据，兼容Amazon S3、OpenStack Swift主流对象接口；针对海量小文件做读写优化，支持EB级弹性扩容，内置数据生命周期管理、冷热分层存储与多副本保护机制；可无缝对接云原生应用与大数据分析平台</w:t>
            </w:r>
            <w:r>
              <w:rPr>
                <w:rFonts w:hint="eastAsia" w:ascii="Times New Roman" w:hAnsi="Times New Roman" w:eastAsia="仿宋_GB2312" w:cs="Times New Roman"/>
                <w:color w:val="000000" w:themeColor="text1"/>
                <w:sz w:val="21"/>
                <w:szCs w:val="21"/>
                <w:highlight w:val="none"/>
                <w:vertAlign w:val="baseline"/>
                <w:lang w:eastAsia="zh-CN"/>
                <w14:textFill>
                  <w14:solidFill>
                    <w14:schemeClr w14:val="tx1"/>
                  </w14:solidFill>
                </w14:textFill>
              </w:rPr>
              <w:t>。</w:t>
            </w:r>
          </w:p>
        </w:tc>
      </w:tr>
      <w:tr w14:paraId="3F5A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7AEAA6B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34</w:t>
            </w:r>
          </w:p>
        </w:tc>
        <w:tc>
          <w:tcPr>
            <w:tcW w:w="1253" w:type="dxa"/>
            <w:shd w:val="clear" w:color="auto" w:fill="auto"/>
            <w:vAlign w:val="center"/>
          </w:tcPr>
          <w:p w14:paraId="65423A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仿宋_GB2312" w:cs="Times New Roman"/>
                <w:color w:val="000000" w:themeColor="text1"/>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备份设备</w:t>
            </w:r>
          </w:p>
        </w:tc>
        <w:tc>
          <w:tcPr>
            <w:tcW w:w="7954" w:type="dxa"/>
            <w:shd w:val="clear" w:color="auto" w:fill="auto"/>
            <w:vAlign w:val="center"/>
          </w:tcPr>
          <w:p w14:paraId="1311DC3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imes New Roman" w:hAnsi="Times New Roman" w:eastAsia="仿宋_GB2312" w:cs="Times New Roman"/>
                <w:color w:val="000000" w:themeColor="text1"/>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1"/>
                <w:szCs w:val="21"/>
                <w:highlight w:val="none"/>
                <w:vertAlign w:val="baseline"/>
                <w14:textFill>
                  <w14:solidFill>
                    <w14:schemeClr w14:val="tx1"/>
                  </w14:solidFill>
                </w14:textFill>
              </w:rPr>
              <w:t>构建定时备份、CDM副本管理、CDP连续数据保护多层次数据保护体系，覆盖全场景数据保护需求；兼容数据库、文件、虚拟机等多类型数据源，支持即时挂载恢复与任意时间点数据回退；内置容灾复制与自动数据校验，保障数据安全可靠与业务快速恢复</w:t>
            </w:r>
            <w:r>
              <w:rPr>
                <w:rFonts w:hint="eastAsia" w:ascii="Times New Roman" w:hAnsi="Times New Roman" w:eastAsia="仿宋_GB2312" w:cs="Times New Roman"/>
                <w:color w:val="000000" w:themeColor="text1"/>
                <w:sz w:val="21"/>
                <w:szCs w:val="21"/>
                <w:highlight w:val="none"/>
                <w:vertAlign w:val="baseline"/>
                <w:lang w:eastAsia="zh-CN"/>
                <w14:textFill>
                  <w14:solidFill>
                    <w14:schemeClr w14:val="tx1"/>
                  </w14:solidFill>
                </w14:textFill>
              </w:rPr>
              <w:t>。</w:t>
            </w:r>
          </w:p>
        </w:tc>
      </w:tr>
      <w:tr w14:paraId="09E8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5D97EAC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color w:val="000000"/>
                <w:kern w:val="0"/>
                <w:sz w:val="21"/>
                <w:szCs w:val="21"/>
                <w:highlight w:val="none"/>
                <w:lang w:val="en-US" w:eastAsia="zh-CN"/>
              </w:rPr>
            </w:pPr>
            <w:r>
              <w:rPr>
                <w:rFonts w:hint="eastAsia" w:eastAsia="仿宋_GB2312" w:cs="Times New Roman"/>
                <w:color w:val="000000"/>
                <w:kern w:val="0"/>
                <w:sz w:val="21"/>
                <w:szCs w:val="21"/>
                <w:highlight w:val="none"/>
                <w:lang w:val="en-US" w:eastAsia="zh-CN"/>
              </w:rPr>
              <w:t>35</w:t>
            </w:r>
          </w:p>
        </w:tc>
        <w:tc>
          <w:tcPr>
            <w:tcW w:w="1253" w:type="dxa"/>
            <w:shd w:val="clear" w:color="auto" w:fill="auto"/>
            <w:vAlign w:val="center"/>
          </w:tcPr>
          <w:p w14:paraId="205E3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kern w:val="0"/>
                <w:sz w:val="18"/>
                <w:szCs w:val="18"/>
                <w:highlight w:val="none"/>
                <w:u w:val="none"/>
                <w:lang w:val="en-US" w:eastAsia="zh-CN" w:bidi="ar"/>
              </w:rPr>
              <w:t>无线通讯模块</w:t>
            </w:r>
          </w:p>
        </w:tc>
        <w:tc>
          <w:tcPr>
            <w:tcW w:w="7954" w:type="dxa"/>
            <w:shd w:val="clear" w:color="auto" w:fill="auto"/>
            <w:vAlign w:val="center"/>
          </w:tcPr>
          <w:p w14:paraId="2B94BAC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imes New Roman" w:hAnsi="Times New Roman" w:eastAsia="仿宋_GB2312" w:cs="Times New Roman"/>
                <w:color w:val="000000" w:themeColor="text1"/>
                <w:sz w:val="21"/>
                <w:szCs w:val="21"/>
                <w:highlight w:val="none"/>
                <w:vertAlign w:val="baseline"/>
                <w14:textFill>
                  <w14:solidFill>
                    <w14:schemeClr w14:val="tx1"/>
                  </w14:solidFill>
                </w14:textFill>
              </w:rPr>
            </w:pPr>
            <w:r>
              <w:rPr>
                <w:rFonts w:hint="eastAsia" w:ascii="宋体" w:hAnsi="宋体" w:eastAsia="宋体" w:cs="宋体"/>
                <w:i w:val="0"/>
                <w:iCs w:val="0"/>
                <w:color w:val="000000"/>
                <w:kern w:val="0"/>
                <w:sz w:val="18"/>
                <w:szCs w:val="18"/>
                <w:highlight w:val="none"/>
                <w:u w:val="none"/>
                <w:lang w:val="en-US" w:eastAsia="zh-CN" w:bidi="ar"/>
              </w:rPr>
              <w:t>(1)类型:工业级4G/5G路由器</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(2)能力:支持将摄像机高清视频流稳定回传至监控中心</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(3)信号:支持4G全网通(或5G),确保在偏远河道区域网络覆盖。</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 xml:space="preserve">(4)接口:至少2个千兆RJ45网口。 </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(5)防护等级:≥IP65,适应室外环境。</w:t>
            </w:r>
          </w:p>
        </w:tc>
      </w:tr>
      <w:tr w14:paraId="2924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545CC37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eastAsia="仿宋_GB2312" w:cs="Times New Roman"/>
                <w:color w:val="000000"/>
                <w:kern w:val="0"/>
                <w:sz w:val="21"/>
                <w:szCs w:val="21"/>
                <w:highlight w:val="none"/>
                <w:lang w:val="en-US" w:eastAsia="zh-CN"/>
              </w:rPr>
            </w:pPr>
            <w:r>
              <w:rPr>
                <w:rFonts w:hint="eastAsia" w:eastAsia="仿宋_GB2312" w:cs="Times New Roman"/>
                <w:color w:val="000000"/>
                <w:kern w:val="0"/>
                <w:sz w:val="21"/>
                <w:szCs w:val="21"/>
                <w:highlight w:val="none"/>
                <w:lang w:val="en-US" w:eastAsia="zh-CN"/>
              </w:rPr>
              <w:t>36</w:t>
            </w:r>
          </w:p>
        </w:tc>
        <w:tc>
          <w:tcPr>
            <w:tcW w:w="1253" w:type="dxa"/>
            <w:shd w:val="clear" w:color="auto" w:fill="auto"/>
            <w:vAlign w:val="center"/>
          </w:tcPr>
          <w:p w14:paraId="41B60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智能摄像机</w:t>
            </w:r>
          </w:p>
        </w:tc>
        <w:tc>
          <w:tcPr>
            <w:tcW w:w="7954" w:type="dxa"/>
            <w:shd w:val="clear" w:color="auto" w:fill="auto"/>
            <w:vAlign w:val="center"/>
          </w:tcPr>
          <w:p w14:paraId="587794D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(1)可见光通道:400万像素，1/1.8英寸CMOS； 最大60倍光学变倍；支持光学透雾、电子防抖</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(2)云台性能:水平0</w:t>
            </w:r>
            <w:r>
              <w:rPr>
                <w:rStyle w:val="43"/>
                <w:rFonts w:eastAsia="宋体"/>
                <w:sz w:val="18"/>
                <w:szCs w:val="18"/>
                <w:highlight w:val="none"/>
                <w:lang w:val="en-US" w:eastAsia="zh-CN" w:bidi="ar"/>
              </w:rPr>
              <w:t>⁰</w:t>
            </w:r>
            <w:r>
              <w:rPr>
                <w:rStyle w:val="35"/>
                <w:sz w:val="18"/>
                <w:szCs w:val="18"/>
                <w:highlight w:val="none"/>
                <w:lang w:val="en-US" w:eastAsia="zh-CN" w:bidi="ar"/>
              </w:rPr>
              <w:t>~360</w:t>
            </w:r>
            <w:r>
              <w:rPr>
                <w:rStyle w:val="43"/>
                <w:rFonts w:eastAsia="宋体"/>
                <w:sz w:val="18"/>
                <w:szCs w:val="18"/>
                <w:highlight w:val="none"/>
                <w:lang w:val="en-US" w:eastAsia="zh-CN" w:bidi="ar"/>
              </w:rPr>
              <w:t>⁰</w:t>
            </w:r>
            <w:r>
              <w:rPr>
                <w:rStyle w:val="35"/>
                <w:sz w:val="18"/>
                <w:szCs w:val="18"/>
                <w:highlight w:val="none"/>
                <w:lang w:val="en-US" w:eastAsia="zh-CN" w:bidi="ar"/>
              </w:rPr>
              <w:t>连续旋转，垂直-45</w:t>
            </w:r>
            <w:r>
              <w:rPr>
                <w:rStyle w:val="43"/>
                <w:rFonts w:eastAsia="宋体"/>
                <w:sz w:val="18"/>
                <w:szCs w:val="18"/>
                <w:highlight w:val="none"/>
                <w:lang w:val="en-US" w:eastAsia="zh-CN" w:bidi="ar"/>
              </w:rPr>
              <w:t>⁰</w:t>
            </w:r>
            <w:r>
              <w:rPr>
                <w:rStyle w:val="35"/>
                <w:sz w:val="18"/>
                <w:szCs w:val="18"/>
                <w:highlight w:val="none"/>
                <w:lang w:val="en-US" w:eastAsia="zh-CN" w:bidi="ar"/>
              </w:rPr>
              <w:t>^60</w:t>
            </w:r>
            <w:r>
              <w:rPr>
                <w:rStyle w:val="43"/>
                <w:rFonts w:eastAsia="宋体"/>
                <w:sz w:val="18"/>
                <w:szCs w:val="18"/>
                <w:highlight w:val="none"/>
                <w:lang w:val="en-US" w:eastAsia="zh-CN" w:bidi="ar"/>
              </w:rPr>
              <w:t>⁰</w:t>
            </w:r>
            <w:r>
              <w:rPr>
                <w:rStyle w:val="35"/>
                <w:sz w:val="18"/>
                <w:szCs w:val="18"/>
                <w:highlight w:val="none"/>
                <w:lang w:val="en-US" w:eastAsia="zh-CN" w:bidi="ar"/>
              </w:rPr>
              <w:t>旋转，监控范围无死角</w:t>
            </w:r>
            <w:r>
              <w:rPr>
                <w:rStyle w:val="35"/>
                <w:sz w:val="18"/>
                <w:szCs w:val="18"/>
                <w:highlight w:val="none"/>
                <w:lang w:val="en-US" w:eastAsia="zh-CN" w:bidi="ar"/>
              </w:rPr>
              <w:br w:type="textWrapping"/>
            </w:r>
            <w:r>
              <w:rPr>
                <w:rStyle w:val="35"/>
                <w:sz w:val="18"/>
                <w:szCs w:val="18"/>
                <w:highlight w:val="none"/>
                <w:lang w:val="en-US" w:eastAsia="zh-CN" w:bidi="ar"/>
              </w:rPr>
              <w:t>(3)智能功能:区域入侵</w:t>
            </w:r>
            <w:r>
              <w:rPr>
                <w:rStyle w:val="35"/>
                <w:sz w:val="18"/>
                <w:szCs w:val="18"/>
                <w:highlight w:val="none"/>
                <w:lang w:val="en-US" w:eastAsia="zh-CN" w:bidi="ar"/>
              </w:rPr>
              <w:br w:type="textWrapping"/>
            </w:r>
            <w:r>
              <w:rPr>
                <w:rStyle w:val="35"/>
                <w:sz w:val="18"/>
                <w:szCs w:val="18"/>
                <w:highlight w:val="none"/>
                <w:lang w:val="en-US" w:eastAsia="zh-CN" w:bidi="ar"/>
              </w:rPr>
              <w:t xml:space="preserve">(4)防护等级:IP67 </w:t>
            </w:r>
            <w:r>
              <w:rPr>
                <w:rStyle w:val="35"/>
                <w:sz w:val="18"/>
                <w:szCs w:val="18"/>
                <w:highlight w:val="none"/>
                <w:lang w:val="en-US" w:eastAsia="zh-CN" w:bidi="ar"/>
              </w:rPr>
              <w:br w:type="textWrapping"/>
            </w:r>
            <w:r>
              <w:rPr>
                <w:rStyle w:val="35"/>
                <w:sz w:val="18"/>
                <w:szCs w:val="18"/>
                <w:highlight w:val="none"/>
                <w:lang w:val="en-US" w:eastAsia="zh-CN" w:bidi="ar"/>
              </w:rPr>
              <w:t xml:space="preserve">(5)功率:50~100W </w:t>
            </w:r>
            <w:r>
              <w:rPr>
                <w:rStyle w:val="35"/>
                <w:sz w:val="18"/>
                <w:szCs w:val="18"/>
                <w:highlight w:val="none"/>
                <w:lang w:val="en-US" w:eastAsia="zh-CN" w:bidi="ar"/>
              </w:rPr>
              <w:br w:type="textWrapping"/>
            </w:r>
            <w:r>
              <w:rPr>
                <w:rStyle w:val="35"/>
                <w:sz w:val="18"/>
                <w:szCs w:val="18"/>
                <w:highlight w:val="none"/>
                <w:lang w:val="en-US" w:eastAsia="zh-CN" w:bidi="ar"/>
              </w:rPr>
              <w:t xml:space="preserve">(6)工作温度:-40℃+60℃ </w:t>
            </w:r>
          </w:p>
        </w:tc>
      </w:tr>
      <w:tr w14:paraId="0848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27DC8DD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eastAsia="仿宋_GB2312" w:cs="Times New Roman"/>
                <w:color w:val="000000"/>
                <w:kern w:val="0"/>
                <w:sz w:val="21"/>
                <w:szCs w:val="21"/>
                <w:highlight w:val="none"/>
                <w:lang w:val="en-US" w:eastAsia="zh-CN"/>
              </w:rPr>
            </w:pPr>
            <w:r>
              <w:rPr>
                <w:rFonts w:hint="eastAsia" w:eastAsia="仿宋_GB2312" w:cs="Times New Roman"/>
                <w:color w:val="000000"/>
                <w:kern w:val="0"/>
                <w:sz w:val="21"/>
                <w:szCs w:val="21"/>
                <w:highlight w:val="none"/>
                <w:lang w:val="en-US" w:eastAsia="zh-CN"/>
              </w:rPr>
              <w:t>37</w:t>
            </w:r>
          </w:p>
        </w:tc>
        <w:tc>
          <w:tcPr>
            <w:tcW w:w="1253" w:type="dxa"/>
            <w:shd w:val="clear" w:color="auto" w:fill="auto"/>
            <w:vAlign w:val="center"/>
          </w:tcPr>
          <w:p w14:paraId="34A511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硬盘录像机</w:t>
            </w:r>
          </w:p>
        </w:tc>
        <w:tc>
          <w:tcPr>
            <w:tcW w:w="7954" w:type="dxa"/>
            <w:shd w:val="clear" w:color="auto" w:fill="auto"/>
            <w:vAlign w:val="center"/>
          </w:tcPr>
          <w:p w14:paraId="222B3DE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(1)容量:2TB。 </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 xml:space="preserve">(2)类型:监控级硬盘，支持7x24小时连续写入。 </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 xml:space="preserve">(3)接口:SATA III </w:t>
            </w:r>
          </w:p>
        </w:tc>
      </w:tr>
      <w:tr w14:paraId="04A9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0" w:type="auto"/>
            <w:shd w:val="clear" w:color="auto" w:fill="auto"/>
            <w:vAlign w:val="center"/>
          </w:tcPr>
          <w:p w14:paraId="3CC767B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eastAsia="仿宋_GB2312" w:cs="Times New Roman"/>
                <w:color w:val="000000"/>
                <w:kern w:val="0"/>
                <w:sz w:val="21"/>
                <w:szCs w:val="21"/>
                <w:highlight w:val="none"/>
                <w:lang w:val="en-US" w:eastAsia="zh-CN"/>
              </w:rPr>
            </w:pPr>
            <w:r>
              <w:rPr>
                <w:rFonts w:hint="eastAsia" w:eastAsia="仿宋_GB2312" w:cs="Times New Roman"/>
                <w:color w:val="000000"/>
                <w:kern w:val="0"/>
                <w:sz w:val="21"/>
                <w:szCs w:val="21"/>
                <w:highlight w:val="none"/>
                <w:lang w:val="en-US" w:eastAsia="zh-CN"/>
              </w:rPr>
              <w:t>38</w:t>
            </w:r>
          </w:p>
        </w:tc>
        <w:tc>
          <w:tcPr>
            <w:tcW w:w="1253" w:type="dxa"/>
            <w:shd w:val="clear" w:color="auto" w:fill="auto"/>
            <w:vAlign w:val="center"/>
          </w:tcPr>
          <w:p w14:paraId="45656D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视频AI分析包</w:t>
            </w:r>
          </w:p>
        </w:tc>
        <w:tc>
          <w:tcPr>
            <w:tcW w:w="7954" w:type="dxa"/>
            <w:shd w:val="clear" w:color="auto" w:fill="auto"/>
            <w:vAlign w:val="center"/>
          </w:tcPr>
          <w:p w14:paraId="4E28D3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前端智能摄像头通过本地AI芯片，预先划定岸线保护红线，实时采集画面并智能分析，监测岸线轮廓，定时传输照片至平台。</w:t>
            </w:r>
          </w:p>
        </w:tc>
      </w:tr>
      <w:tr w14:paraId="70DB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0" w:type="auto"/>
            <w:shd w:val="clear" w:color="auto" w:fill="auto"/>
            <w:vAlign w:val="center"/>
          </w:tcPr>
          <w:p w14:paraId="73CB790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eastAsia="仿宋_GB2312" w:cs="Times New Roman"/>
                <w:color w:val="000000"/>
                <w:kern w:val="0"/>
                <w:sz w:val="21"/>
                <w:szCs w:val="21"/>
                <w:highlight w:val="none"/>
                <w:lang w:val="en-US" w:eastAsia="zh-CN"/>
              </w:rPr>
            </w:pPr>
            <w:r>
              <w:rPr>
                <w:rFonts w:hint="eastAsia" w:eastAsia="仿宋_GB2312" w:cs="Times New Roman"/>
                <w:color w:val="000000"/>
                <w:kern w:val="0"/>
                <w:sz w:val="21"/>
                <w:szCs w:val="21"/>
                <w:highlight w:val="none"/>
                <w:lang w:val="en-US" w:eastAsia="zh-CN"/>
              </w:rPr>
              <w:t>39</w:t>
            </w:r>
          </w:p>
        </w:tc>
        <w:tc>
          <w:tcPr>
            <w:tcW w:w="1253" w:type="dxa"/>
            <w:shd w:val="clear" w:color="auto" w:fill="auto"/>
            <w:vAlign w:val="center"/>
          </w:tcPr>
          <w:p w14:paraId="4D4480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安装支架</w:t>
            </w:r>
          </w:p>
        </w:tc>
        <w:tc>
          <w:tcPr>
            <w:tcW w:w="7954" w:type="dxa"/>
            <w:shd w:val="clear" w:color="auto" w:fill="auto"/>
            <w:vAlign w:val="center"/>
          </w:tcPr>
          <w:p w14:paraId="3E32656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(1)材质:热镀锌钢材或304不锈钢，防腐耐用</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(2)承重:需与所选摄像机重量匹配，确保稳定。</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(3)接口:标准安装接口，支持壁装、吊装、柱装等多种方式</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(4)防护:配套防水、防锈紧固件</w:t>
            </w:r>
          </w:p>
        </w:tc>
      </w:tr>
    </w:tbl>
    <w:p w14:paraId="374C33D7">
      <w:pPr>
        <w:pStyle w:val="2"/>
        <w:ind w:firstLine="0" w:firstLineChars="0"/>
        <w:jc w:val="both"/>
        <w:rPr>
          <w:rFonts w:ascii="Times New Roman" w:hAnsi="Times New Roman" w:cs="Times New Roman"/>
          <w:sz w:val="28"/>
          <w:szCs w:val="28"/>
          <w:highlight w:val="none"/>
          <w:lang w:val="en-US" w:eastAsia="zh-CN"/>
        </w:rPr>
        <w:sectPr>
          <w:footerReference r:id="rId5" w:type="default"/>
          <w:pgSz w:w="11906" w:h="16838"/>
          <w:pgMar w:top="1440" w:right="1134" w:bottom="1440"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cs="Times New Roman"/>
          <w:sz w:val="28"/>
          <w:szCs w:val="28"/>
          <w:highlight w:val="none"/>
          <w:lang w:val="en-US" w:eastAsia="zh-CN"/>
        </w:rPr>
        <w:t>注：供应商</w:t>
      </w:r>
      <w:r>
        <w:rPr>
          <w:rFonts w:hint="eastAsia" w:ascii="Times New Roman" w:hAnsi="Times New Roman" w:cs="Times New Roman"/>
          <w:sz w:val="28"/>
          <w:szCs w:val="28"/>
          <w:highlight w:val="none"/>
          <w:lang w:val="en-US" w:eastAsia="zh-CN"/>
        </w:rPr>
        <w:t>可针对采购设备清单中的一项或多项设备报价，但须提供能够证明其产品满足或优于设备要求参数的证明文件</w:t>
      </w:r>
      <w:r>
        <w:rPr>
          <w:rFonts w:hint="eastAsia" w:cs="Times New Roman"/>
          <w:sz w:val="28"/>
          <w:szCs w:val="28"/>
          <w:highlight w:val="none"/>
          <w:lang w:val="en-US" w:eastAsia="zh-CN"/>
        </w:rPr>
        <w:t>。</w:t>
      </w:r>
    </w:p>
    <w:p w14:paraId="37282CDB">
      <w:pPr>
        <w:pStyle w:val="2"/>
        <w:ind w:firstLine="0" w:firstLineChars="0"/>
        <w:jc w:val="both"/>
        <w:rPr>
          <w:rFonts w:hint="default" w:ascii="Times New Roman" w:hAnsi="Times New Roman" w:cs="Times New Roman"/>
          <w:color w:val="auto"/>
          <w:highlight w:val="none"/>
          <w:lang w:val="en-US" w:eastAsia="zh-CN"/>
        </w:rPr>
      </w:pPr>
      <w:r>
        <w:rPr>
          <w:rFonts w:ascii="Times New Roman" w:hAnsi="Times New Roman" w:cs="Times New Roman"/>
          <w:highlight w:val="none"/>
          <w:lang w:val="en-US" w:eastAsia="zh-CN"/>
        </w:rPr>
        <w:t>附件</w:t>
      </w:r>
      <w:r>
        <w:rPr>
          <w:rFonts w:hint="eastAsia" w:cs="Times New Roman"/>
          <w:highlight w:val="none"/>
          <w:lang w:val="en-US" w:eastAsia="zh-CN"/>
        </w:rPr>
        <w:t>二</w:t>
      </w:r>
    </w:p>
    <w:p w14:paraId="203CDB06">
      <w:pPr>
        <w:pStyle w:val="2"/>
        <w:ind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报价</w:t>
      </w:r>
      <w:r>
        <w:rPr>
          <w:rFonts w:hint="eastAsia" w:ascii="Times New Roman" w:hAnsi="Times New Roman" w:cs="Times New Roman"/>
          <w:color w:val="auto"/>
          <w:highlight w:val="none"/>
          <w:lang w:val="en-US" w:eastAsia="zh-CN"/>
        </w:rPr>
        <w:t>单</w:t>
      </w:r>
    </w:p>
    <w:tbl>
      <w:tblPr>
        <w:tblStyle w:val="16"/>
        <w:tblW w:w="51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609"/>
        <w:gridCol w:w="895"/>
        <w:gridCol w:w="2395"/>
        <w:gridCol w:w="1316"/>
        <w:gridCol w:w="1162"/>
        <w:gridCol w:w="954"/>
        <w:gridCol w:w="1208"/>
        <w:gridCol w:w="877"/>
      </w:tblGrid>
      <w:tr w14:paraId="64FD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 w:type="pct"/>
            <w:vAlign w:val="center"/>
          </w:tcPr>
          <w:p w14:paraId="4F398D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序号</w:t>
            </w:r>
          </w:p>
        </w:tc>
        <w:tc>
          <w:tcPr>
            <w:tcW w:w="745" w:type="pct"/>
            <w:gridSpan w:val="2"/>
            <w:vAlign w:val="center"/>
          </w:tcPr>
          <w:p w14:paraId="704D197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名称</w:t>
            </w:r>
          </w:p>
        </w:tc>
        <w:tc>
          <w:tcPr>
            <w:tcW w:w="1187" w:type="pct"/>
            <w:vAlign w:val="center"/>
          </w:tcPr>
          <w:p w14:paraId="0373D3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参数</w:t>
            </w:r>
          </w:p>
        </w:tc>
        <w:tc>
          <w:tcPr>
            <w:tcW w:w="652" w:type="pct"/>
            <w:shd w:val="clear" w:color="auto" w:fill="auto"/>
            <w:vAlign w:val="center"/>
          </w:tcPr>
          <w:p w14:paraId="2DC6826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品牌/产地</w:t>
            </w:r>
          </w:p>
        </w:tc>
        <w:tc>
          <w:tcPr>
            <w:tcW w:w="576" w:type="pct"/>
            <w:shd w:val="clear" w:color="auto" w:fill="auto"/>
            <w:vAlign w:val="center"/>
          </w:tcPr>
          <w:p w14:paraId="659280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不含税</w:t>
            </w:r>
          </w:p>
          <w:p w14:paraId="77307F1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单价（元）</w:t>
            </w:r>
          </w:p>
        </w:tc>
        <w:tc>
          <w:tcPr>
            <w:tcW w:w="472" w:type="pct"/>
            <w:shd w:val="clear" w:color="auto" w:fill="auto"/>
            <w:vAlign w:val="center"/>
          </w:tcPr>
          <w:p w14:paraId="091E1AF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税率</w:t>
            </w:r>
          </w:p>
          <w:p w14:paraId="5291F1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w:t>
            </w:r>
          </w:p>
        </w:tc>
        <w:tc>
          <w:tcPr>
            <w:tcW w:w="598" w:type="pct"/>
            <w:shd w:val="clear" w:color="auto" w:fill="auto"/>
            <w:vAlign w:val="center"/>
          </w:tcPr>
          <w:p w14:paraId="275C2F1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含税单价</w:t>
            </w:r>
          </w:p>
          <w:p w14:paraId="0510A2F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单价（元）</w:t>
            </w:r>
          </w:p>
        </w:tc>
        <w:tc>
          <w:tcPr>
            <w:tcW w:w="434" w:type="pct"/>
            <w:shd w:val="clear" w:color="auto" w:fill="auto"/>
            <w:vAlign w:val="center"/>
          </w:tcPr>
          <w:p w14:paraId="2F29CD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备注</w:t>
            </w:r>
          </w:p>
        </w:tc>
      </w:tr>
      <w:tr w14:paraId="5FEC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31" w:type="pct"/>
            <w:vAlign w:val="center"/>
          </w:tcPr>
          <w:p w14:paraId="366201B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745" w:type="pct"/>
            <w:gridSpan w:val="2"/>
            <w:vAlign w:val="center"/>
          </w:tcPr>
          <w:p w14:paraId="4EA7BAB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sz w:val="16"/>
                <w:szCs w:val="16"/>
                <w:vertAlign w:val="baseline"/>
                <w:lang w:val="en-US" w:eastAsia="zh-CN"/>
              </w:rPr>
            </w:pPr>
          </w:p>
        </w:tc>
        <w:tc>
          <w:tcPr>
            <w:tcW w:w="1187" w:type="pct"/>
            <w:vAlign w:val="center"/>
          </w:tcPr>
          <w:p w14:paraId="24870F4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sz w:val="20"/>
                <w:szCs w:val="20"/>
                <w:vertAlign w:val="baseline"/>
                <w:lang w:val="en-US" w:eastAsia="zh-CN"/>
              </w:rPr>
            </w:pPr>
          </w:p>
        </w:tc>
        <w:tc>
          <w:tcPr>
            <w:tcW w:w="652" w:type="pct"/>
            <w:vAlign w:val="center"/>
          </w:tcPr>
          <w:p w14:paraId="6958754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576" w:type="pct"/>
            <w:shd w:val="clear" w:color="auto" w:fill="auto"/>
            <w:vAlign w:val="center"/>
          </w:tcPr>
          <w:p w14:paraId="2FFA8A7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c>
          <w:tcPr>
            <w:tcW w:w="472" w:type="pct"/>
            <w:shd w:val="clear" w:color="auto" w:fill="auto"/>
            <w:vAlign w:val="center"/>
          </w:tcPr>
          <w:p w14:paraId="495D9F2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c>
          <w:tcPr>
            <w:tcW w:w="598" w:type="pct"/>
            <w:shd w:val="clear" w:color="auto" w:fill="auto"/>
            <w:vAlign w:val="center"/>
          </w:tcPr>
          <w:p w14:paraId="7C0F7E1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c>
          <w:tcPr>
            <w:tcW w:w="434" w:type="pct"/>
            <w:shd w:val="clear" w:color="auto" w:fill="auto"/>
            <w:vAlign w:val="center"/>
          </w:tcPr>
          <w:p w14:paraId="5997766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r>
      <w:tr w14:paraId="4CC1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31" w:type="pct"/>
            <w:vAlign w:val="center"/>
          </w:tcPr>
          <w:p w14:paraId="7E5A886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745" w:type="pct"/>
            <w:gridSpan w:val="2"/>
            <w:vAlign w:val="center"/>
          </w:tcPr>
          <w:p w14:paraId="040BFED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sz w:val="16"/>
                <w:szCs w:val="16"/>
                <w:vertAlign w:val="baseline"/>
                <w:lang w:val="en-US" w:eastAsia="zh-CN"/>
              </w:rPr>
            </w:pPr>
          </w:p>
        </w:tc>
        <w:tc>
          <w:tcPr>
            <w:tcW w:w="1187" w:type="pct"/>
            <w:vAlign w:val="center"/>
          </w:tcPr>
          <w:p w14:paraId="065822A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sz w:val="20"/>
                <w:szCs w:val="20"/>
                <w:vertAlign w:val="baseline"/>
                <w:lang w:val="en-US" w:eastAsia="zh-CN"/>
              </w:rPr>
            </w:pPr>
          </w:p>
        </w:tc>
        <w:tc>
          <w:tcPr>
            <w:tcW w:w="652" w:type="pct"/>
            <w:vAlign w:val="center"/>
          </w:tcPr>
          <w:p w14:paraId="488F5B4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576" w:type="pct"/>
            <w:shd w:val="clear" w:color="auto" w:fill="auto"/>
            <w:vAlign w:val="center"/>
          </w:tcPr>
          <w:p w14:paraId="5397B9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c>
          <w:tcPr>
            <w:tcW w:w="472" w:type="pct"/>
            <w:shd w:val="clear" w:color="auto" w:fill="auto"/>
            <w:vAlign w:val="center"/>
          </w:tcPr>
          <w:p w14:paraId="6FEEC79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c>
          <w:tcPr>
            <w:tcW w:w="598" w:type="pct"/>
            <w:shd w:val="clear" w:color="auto" w:fill="auto"/>
            <w:vAlign w:val="center"/>
          </w:tcPr>
          <w:p w14:paraId="713C8F2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c>
          <w:tcPr>
            <w:tcW w:w="434" w:type="pct"/>
            <w:shd w:val="clear" w:color="auto" w:fill="auto"/>
            <w:vAlign w:val="center"/>
          </w:tcPr>
          <w:p w14:paraId="7E2F9F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r>
      <w:tr w14:paraId="7FA8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31" w:type="pct"/>
            <w:vAlign w:val="center"/>
          </w:tcPr>
          <w:p w14:paraId="207CB9F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w:t>
            </w:r>
          </w:p>
        </w:tc>
        <w:tc>
          <w:tcPr>
            <w:tcW w:w="745" w:type="pct"/>
            <w:gridSpan w:val="2"/>
            <w:vAlign w:val="center"/>
          </w:tcPr>
          <w:p w14:paraId="64D23EC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sz w:val="16"/>
                <w:szCs w:val="16"/>
                <w:vertAlign w:val="baseline"/>
                <w:lang w:val="en-US" w:eastAsia="zh-CN"/>
              </w:rPr>
            </w:pPr>
          </w:p>
        </w:tc>
        <w:tc>
          <w:tcPr>
            <w:tcW w:w="1187" w:type="pct"/>
            <w:vAlign w:val="center"/>
          </w:tcPr>
          <w:p w14:paraId="2893BCE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sz w:val="20"/>
                <w:szCs w:val="20"/>
                <w:vertAlign w:val="baseline"/>
                <w:lang w:val="en-US" w:eastAsia="zh-CN"/>
              </w:rPr>
            </w:pPr>
          </w:p>
        </w:tc>
        <w:tc>
          <w:tcPr>
            <w:tcW w:w="652" w:type="pct"/>
            <w:vAlign w:val="center"/>
          </w:tcPr>
          <w:p w14:paraId="5E94D8F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576" w:type="pct"/>
            <w:shd w:val="clear" w:color="auto" w:fill="auto"/>
            <w:vAlign w:val="center"/>
          </w:tcPr>
          <w:p w14:paraId="47F9A7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c>
          <w:tcPr>
            <w:tcW w:w="472" w:type="pct"/>
            <w:shd w:val="clear" w:color="auto" w:fill="auto"/>
            <w:vAlign w:val="center"/>
          </w:tcPr>
          <w:p w14:paraId="03A1B1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c>
          <w:tcPr>
            <w:tcW w:w="598" w:type="pct"/>
            <w:shd w:val="clear" w:color="auto" w:fill="auto"/>
            <w:vAlign w:val="center"/>
          </w:tcPr>
          <w:p w14:paraId="2A64188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c>
          <w:tcPr>
            <w:tcW w:w="434" w:type="pct"/>
            <w:shd w:val="clear" w:color="auto" w:fill="auto"/>
            <w:vAlign w:val="center"/>
          </w:tcPr>
          <w:p w14:paraId="3F23FD8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bidi="ar-SA"/>
              </w:rPr>
            </w:pPr>
          </w:p>
        </w:tc>
      </w:tr>
      <w:tr w14:paraId="2450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31" w:type="pct"/>
            <w:vMerge w:val="restart"/>
            <w:vAlign w:val="center"/>
          </w:tcPr>
          <w:p w14:paraId="2FE5E5F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合计</w:t>
            </w:r>
          </w:p>
        </w:tc>
        <w:tc>
          <w:tcPr>
            <w:tcW w:w="301" w:type="pct"/>
          </w:tcPr>
          <w:p w14:paraId="6653144A">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sz w:val="24"/>
                <w:szCs w:val="24"/>
                <w:vertAlign w:val="baseline"/>
                <w:lang w:val="en-US" w:eastAsia="zh-CN"/>
              </w:rPr>
            </w:pPr>
          </w:p>
        </w:tc>
        <w:tc>
          <w:tcPr>
            <w:tcW w:w="4366" w:type="pct"/>
            <w:gridSpan w:val="7"/>
          </w:tcPr>
          <w:p w14:paraId="5575D4D7">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sz w:val="24"/>
                <w:szCs w:val="24"/>
                <w:u w:val="none"/>
                <w:vertAlign w:val="baseline"/>
                <w:lang w:val="en-US" w:eastAsia="zh-CN"/>
              </w:rPr>
            </w:pPr>
            <w:r>
              <w:rPr>
                <w:rFonts w:hint="eastAsia" w:ascii="仿宋_GB2312" w:hAnsi="仿宋_GB2312" w:eastAsia="仿宋_GB2312" w:cs="仿宋_GB2312"/>
                <w:sz w:val="24"/>
                <w:szCs w:val="24"/>
                <w:vertAlign w:val="baseline"/>
                <w:lang w:val="en-US" w:eastAsia="zh-CN"/>
              </w:rPr>
              <w:t>不含税总价：¥</w:t>
            </w:r>
            <w:r>
              <w:rPr>
                <w:rFonts w:hint="eastAsia" w:ascii="仿宋_GB2312" w:hAnsi="仿宋_GB2312" w:eastAsia="仿宋_GB2312" w:cs="仿宋_GB2312"/>
                <w:sz w:val="24"/>
                <w:szCs w:val="24"/>
                <w:u w:val="single"/>
                <w:vertAlign w:val="baseline"/>
                <w:lang w:val="en-US" w:eastAsia="zh-CN"/>
              </w:rPr>
              <w:t xml:space="preserve">             </w:t>
            </w:r>
            <w:r>
              <w:rPr>
                <w:rFonts w:hint="eastAsia" w:ascii="仿宋_GB2312" w:hAnsi="仿宋_GB2312" w:eastAsia="仿宋_GB2312" w:cs="仿宋_GB2312"/>
                <w:sz w:val="24"/>
                <w:szCs w:val="24"/>
                <w:u w:val="none"/>
                <w:vertAlign w:val="baseline"/>
                <w:lang w:val="en-US" w:eastAsia="zh-CN"/>
              </w:rPr>
              <w:t>元，大写：</w:t>
            </w:r>
          </w:p>
        </w:tc>
      </w:tr>
      <w:tr w14:paraId="2496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331" w:type="pct"/>
            <w:vMerge w:val="continue"/>
          </w:tcPr>
          <w:p w14:paraId="1D2149B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rPr>
            </w:pPr>
          </w:p>
        </w:tc>
        <w:tc>
          <w:tcPr>
            <w:tcW w:w="301" w:type="pct"/>
          </w:tcPr>
          <w:p w14:paraId="6D47ABE2">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sz w:val="24"/>
                <w:szCs w:val="24"/>
                <w:vertAlign w:val="baseline"/>
                <w:lang w:val="en-US" w:eastAsia="zh-CN"/>
              </w:rPr>
            </w:pPr>
          </w:p>
        </w:tc>
        <w:tc>
          <w:tcPr>
            <w:tcW w:w="4366" w:type="pct"/>
            <w:gridSpan w:val="7"/>
          </w:tcPr>
          <w:p w14:paraId="7A0BF166">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税金：¥</w:t>
            </w:r>
            <w:r>
              <w:rPr>
                <w:rFonts w:hint="eastAsia" w:ascii="仿宋_GB2312" w:hAnsi="仿宋_GB2312" w:eastAsia="仿宋_GB2312" w:cs="仿宋_GB2312"/>
                <w:sz w:val="24"/>
                <w:szCs w:val="24"/>
                <w:u w:val="single"/>
                <w:vertAlign w:val="baseline"/>
                <w:lang w:val="en-US" w:eastAsia="zh-CN"/>
              </w:rPr>
              <w:t xml:space="preserve">             </w:t>
            </w:r>
            <w:r>
              <w:rPr>
                <w:rFonts w:hint="eastAsia" w:ascii="仿宋_GB2312" w:hAnsi="仿宋_GB2312" w:eastAsia="仿宋_GB2312" w:cs="仿宋_GB2312"/>
                <w:sz w:val="24"/>
                <w:szCs w:val="24"/>
                <w:u w:val="none"/>
                <w:vertAlign w:val="baseline"/>
                <w:lang w:val="en-US" w:eastAsia="zh-CN"/>
              </w:rPr>
              <w:t>元，大写：</w:t>
            </w:r>
          </w:p>
        </w:tc>
      </w:tr>
      <w:tr w14:paraId="7274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331" w:type="pct"/>
            <w:vMerge w:val="continue"/>
          </w:tcPr>
          <w:p w14:paraId="1C1A5EF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24"/>
                <w:szCs w:val="24"/>
                <w:vertAlign w:val="baseline"/>
                <w:lang w:val="en-US" w:eastAsia="zh-CN"/>
              </w:rPr>
            </w:pPr>
          </w:p>
        </w:tc>
        <w:tc>
          <w:tcPr>
            <w:tcW w:w="301" w:type="pct"/>
          </w:tcPr>
          <w:p w14:paraId="5FE061B1">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sz w:val="24"/>
                <w:szCs w:val="24"/>
                <w:vertAlign w:val="baseline"/>
                <w:lang w:val="en-US" w:eastAsia="zh-CN"/>
              </w:rPr>
            </w:pPr>
          </w:p>
        </w:tc>
        <w:tc>
          <w:tcPr>
            <w:tcW w:w="4366" w:type="pct"/>
            <w:gridSpan w:val="7"/>
          </w:tcPr>
          <w:p w14:paraId="1712310E">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含税总价：¥</w:t>
            </w:r>
            <w:r>
              <w:rPr>
                <w:rFonts w:hint="eastAsia" w:ascii="仿宋_GB2312" w:hAnsi="仿宋_GB2312" w:eastAsia="仿宋_GB2312" w:cs="仿宋_GB2312"/>
                <w:sz w:val="24"/>
                <w:szCs w:val="24"/>
                <w:u w:val="single"/>
                <w:vertAlign w:val="baseline"/>
                <w:lang w:val="en-US" w:eastAsia="zh-CN"/>
              </w:rPr>
              <w:t xml:space="preserve">             </w:t>
            </w:r>
            <w:r>
              <w:rPr>
                <w:rFonts w:hint="eastAsia" w:ascii="仿宋_GB2312" w:hAnsi="仿宋_GB2312" w:eastAsia="仿宋_GB2312" w:cs="仿宋_GB2312"/>
                <w:sz w:val="24"/>
                <w:szCs w:val="24"/>
                <w:u w:val="none"/>
                <w:vertAlign w:val="baseline"/>
                <w:lang w:val="en-US" w:eastAsia="zh-CN"/>
              </w:rPr>
              <w:t>元，大写：</w:t>
            </w:r>
          </w:p>
        </w:tc>
      </w:tr>
    </w:tbl>
    <w:p w14:paraId="25D575C8">
      <w:pPr>
        <w:keepNext w:val="0"/>
        <w:keepLines w:val="0"/>
        <w:pageBreakBefore w:val="0"/>
        <w:widowControl w:val="0"/>
        <w:kinsoku/>
        <w:overflowPunct/>
        <w:topLinePunct w:val="0"/>
        <w:autoSpaceDE/>
        <w:autoSpaceDN/>
        <w:bidi w:val="0"/>
        <w:adjustRightInd/>
        <w:snapToGrid/>
        <w:spacing w:line="560" w:lineRule="exact"/>
        <w:ind w:firstLine="0" w:firstLineChars="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备注：</w:t>
      </w:r>
    </w:p>
    <w:p w14:paraId="57B06987">
      <w:pPr>
        <w:keepNext w:val="0"/>
        <w:keepLines w:val="0"/>
        <w:pageBreakBefore w:val="0"/>
        <w:widowControl w:val="0"/>
        <w:numPr>
          <w:ilvl w:val="0"/>
          <w:numId w:val="0"/>
        </w:numPr>
        <w:kinsoku/>
        <w:overflowPunct/>
        <w:topLinePunct w:val="0"/>
        <w:autoSpaceDE/>
        <w:autoSpaceDN/>
        <w:bidi w:val="0"/>
        <w:adjustRightInd/>
        <w:snapToGrid/>
        <w:spacing w:line="560" w:lineRule="exact"/>
        <w:ind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本报价</w:t>
      </w:r>
      <w:r>
        <w:rPr>
          <w:rFonts w:hint="default" w:ascii="Times New Roman" w:hAnsi="Times New Roman" w:eastAsia="仿宋_GB2312" w:cs="Times New Roman"/>
          <w:sz w:val="24"/>
          <w:szCs w:val="24"/>
          <w:lang w:val="en-US" w:eastAsia="zh-CN"/>
        </w:rPr>
        <w:t>不含设备</w:t>
      </w:r>
      <w:r>
        <w:rPr>
          <w:rFonts w:hint="default" w:ascii="Times New Roman" w:hAnsi="Times New Roman" w:eastAsia="仿宋_GB2312" w:cs="Times New Roman"/>
          <w:sz w:val="24"/>
          <w:szCs w:val="24"/>
        </w:rPr>
        <w:t>安装费用；</w:t>
      </w:r>
    </w:p>
    <w:p w14:paraId="04AEC0FF">
      <w:pPr>
        <w:keepNext w:val="0"/>
        <w:keepLines w:val="0"/>
        <w:pageBreakBefore w:val="0"/>
        <w:widowControl w:val="0"/>
        <w:numPr>
          <w:ilvl w:val="0"/>
          <w:numId w:val="0"/>
        </w:numPr>
        <w:kinsoku/>
        <w:overflowPunct/>
        <w:topLinePunct w:val="0"/>
        <w:autoSpaceDE/>
        <w:autoSpaceDN/>
        <w:bidi w:val="0"/>
        <w:adjustRightInd/>
        <w:snapToGrid/>
        <w:spacing w:line="560" w:lineRule="exact"/>
        <w:ind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2.发票为增值税专用发票。</w:t>
      </w:r>
    </w:p>
    <w:p w14:paraId="7DE751F9">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lang w:val="en-US" w:eastAsia="zh-CN"/>
        </w:rPr>
        <w:t xml:space="preserve">                              </w:t>
      </w:r>
    </w:p>
    <w:p w14:paraId="4112250D">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righ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供应商（盖章）：</w:t>
      </w:r>
      <w:r>
        <w:rPr>
          <w:rFonts w:hint="default" w:ascii="Times New Roman" w:hAnsi="Times New Roman" w:eastAsia="仿宋_GB2312" w:cs="Times New Roman"/>
          <w:sz w:val="24"/>
          <w:szCs w:val="24"/>
          <w:u w:val="single"/>
        </w:rPr>
        <w:t xml:space="preserve">XXX公司          </w:t>
      </w:r>
      <w:r>
        <w:rPr>
          <w:rFonts w:hint="default" w:ascii="Times New Roman" w:hAnsi="Times New Roman" w:eastAsia="仿宋_GB2312" w:cs="Times New Roman"/>
          <w:sz w:val="24"/>
          <w:szCs w:val="24"/>
          <w:u w:val="single"/>
          <w:lang w:val="en-US" w:eastAsia="zh-CN"/>
        </w:rPr>
        <w:t xml:space="preserve">    </w:t>
      </w:r>
      <w:r>
        <w:rPr>
          <w:rFonts w:hint="default" w:ascii="Times New Roman" w:hAnsi="Times New Roman" w:eastAsia="仿宋_GB2312" w:cs="Times New Roman"/>
          <w:sz w:val="24"/>
          <w:szCs w:val="24"/>
          <w:u w:val="single"/>
        </w:rPr>
        <w:t xml:space="preserve">   </w:t>
      </w:r>
      <w:r>
        <w:rPr>
          <w:rFonts w:hint="default" w:ascii="Times New Roman" w:hAnsi="Times New Roman" w:eastAsia="仿宋_GB2312" w:cs="Times New Roman"/>
          <w:sz w:val="24"/>
          <w:szCs w:val="24"/>
          <w:u w:val="single"/>
          <w:lang w:val="en-US" w:eastAsia="zh-CN"/>
        </w:rPr>
        <w:t xml:space="preserve">    </w:t>
      </w:r>
    </w:p>
    <w:p w14:paraId="7E095112">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righ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法定代表人（或授权代表）（签字）：</w:t>
      </w:r>
      <w:r>
        <w:rPr>
          <w:rFonts w:hint="default" w:ascii="Times New Roman" w:hAnsi="Times New Roman" w:eastAsia="仿宋_GB2312" w:cs="Times New Roman"/>
          <w:sz w:val="24"/>
          <w:szCs w:val="24"/>
          <w:u w:val="single"/>
        </w:rPr>
        <w:t xml:space="preserve">XXX </w:t>
      </w:r>
      <w:r>
        <w:rPr>
          <w:rFonts w:hint="default" w:ascii="Times New Roman" w:hAnsi="Times New Roman" w:eastAsia="仿宋_GB2312" w:cs="Times New Roman"/>
          <w:sz w:val="24"/>
          <w:szCs w:val="24"/>
          <w:u w:val="single"/>
          <w:lang w:val="en-US" w:eastAsia="zh-CN"/>
        </w:rPr>
        <w:t xml:space="preserve">      </w:t>
      </w:r>
      <w:r>
        <w:rPr>
          <w:rFonts w:hint="default" w:ascii="Times New Roman" w:hAnsi="Times New Roman" w:eastAsia="仿宋_GB2312" w:cs="Times New Roman"/>
          <w:sz w:val="24"/>
          <w:szCs w:val="24"/>
          <w:u w:val="single"/>
        </w:rPr>
        <w:t xml:space="preserve"> </w:t>
      </w:r>
    </w:p>
    <w:p w14:paraId="5EF19A17">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right"/>
        <w:textAlignment w:val="auto"/>
        <w:rPr>
          <w:rFonts w:hint="default" w:ascii="宋体" w:hAnsi="宋体" w:eastAsia="仿宋" w:cs="宋体"/>
          <w:sz w:val="16"/>
          <w:szCs w:val="16"/>
          <w:highlight w:val="none"/>
          <w:lang w:val="en-US" w:eastAsia="zh-CN"/>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202X年X月X日</w:t>
      </w:r>
      <w:r>
        <w:rPr>
          <w:rFonts w:hint="default" w:ascii="Times New Roman" w:hAnsi="Times New Roman" w:eastAsia="仿宋_GB2312" w:cs="Times New Roman"/>
          <w:sz w:val="24"/>
          <w:szCs w:val="24"/>
          <w:lang w:val="en-US" w:eastAsia="zh-CN"/>
        </w:rPr>
        <w:t xml:space="preserve">  </w:t>
      </w:r>
      <w:r>
        <w:rPr>
          <w:rFonts w:hint="eastAsia" w:cs="Times New Roman"/>
          <w:sz w:val="24"/>
          <w:szCs w:val="24"/>
          <w:lang w:val="en-US" w:eastAsia="zh-CN"/>
        </w:rPr>
        <w:t xml:space="preserve">         </w:t>
      </w:r>
    </w:p>
    <w:sectPr>
      <w:pgSz w:w="11906" w:h="16838"/>
      <w:pgMar w:top="1440" w:right="1134" w:bottom="1440"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兰亭黑_GBK">
    <w:panose1 w:val="02000000000000000000"/>
    <w:charset w:val="86"/>
    <w:family w:val="script"/>
    <w:pitch w:val="default"/>
    <w:sig w:usb0="800002BF" w:usb1="38CF7CFA" w:usb2="00000016"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Lucida Sans">
    <w:altName w:val="Lucida Sans Unicode"/>
    <w:panose1 w:val="020B0602030504020204"/>
    <w:charset w:val="00"/>
    <w:family w:val="auto"/>
    <w:pitch w:val="default"/>
    <w:sig w:usb0="00000000" w:usb1="00000000" w:usb2="00000000" w:usb3="00000000" w:csb0="20000001" w:csb1="00000000"/>
  </w:font>
  <w:font w:name="Noto Naskh Arabic">
    <w:altName w:val="NumberOnly"/>
    <w:panose1 w:val="020B0502040504020204"/>
    <w:charset w:val="00"/>
    <w:family w:val="auto"/>
    <w:pitch w:val="default"/>
    <w:sig w:usb0="00000000" w:usb1="00000000" w:usb2="00000008" w:usb3="00000000" w:csb0="00000041" w:csb1="00080000"/>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F6C79">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050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190500" cy="355600"/>
                      </a:xfrm>
                      <a:prstGeom prst="rect">
                        <a:avLst/>
                      </a:prstGeom>
                      <a:noFill/>
                      <a:ln w="6350" cap="flat" cmpd="sng">
                        <a:noFill/>
                        <a:prstDash val="solid"/>
                        <a:round/>
                      </a:ln>
                    </wps:spPr>
                    <wps:txbx>
                      <w:txbxContent>
                        <w:p w14:paraId="145BE63F">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15pt;mso-position-horizontal:center;mso-position-horizontal-relative:margin;mso-wrap-style:none;z-index:251659264;mso-width-relative:page;mso-height-relative:page;" filled="f" stroked="f" coordsize="21600,21600" o:gfxdata="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cY9/pdYAAAADAQAADwAAAAAAAAABACAAAAAiAAAAZHJzL2Rvd25y&#10;ZXYueG1sUEsBAhQAFAAAAAgAh07iQP8+1fEAAgAA9AMAAA4AAAAAAAAAAQAgAAAAJQEAAGRycy9l&#10;Mm9Eb2MueG1sUEsFBgAAAAAGAAYAWQEAAJcFAAAAAA==&#10;">
              <v:fill on="f" focussize="0,0"/>
              <v:stroke on="f" weight="0.5pt" joinstyle="round"/>
              <v:imagedata o:title=""/>
              <o:lock v:ext="edit" aspectratio="f"/>
              <v:textbox inset="0mm,0mm,0mm,0mm" style="mso-fit-shape-to-text:t;">
                <w:txbxContent>
                  <w:p w14:paraId="145BE63F">
                    <w:pPr>
                      <w:pStyle w:val="12"/>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A464FA"/>
    <w:multiLevelType w:val="multilevel"/>
    <w:tmpl w:val="D6A464FA"/>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126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rsids>
    <w:rsidRoot w:val="00000000"/>
    <w:rsid w:val="04AD7905"/>
    <w:rsid w:val="06CF1DCC"/>
    <w:rsid w:val="09F970AB"/>
    <w:rsid w:val="0F5373E3"/>
    <w:rsid w:val="179606CE"/>
    <w:rsid w:val="1FDB5200"/>
    <w:rsid w:val="24FB7DC2"/>
    <w:rsid w:val="25A735CB"/>
    <w:rsid w:val="27D07081"/>
    <w:rsid w:val="2B4433FE"/>
    <w:rsid w:val="2DD672A8"/>
    <w:rsid w:val="3D5C7AFB"/>
    <w:rsid w:val="3D977A95"/>
    <w:rsid w:val="450B10F8"/>
    <w:rsid w:val="45DB391C"/>
    <w:rsid w:val="48B37F53"/>
    <w:rsid w:val="4C3E4383"/>
    <w:rsid w:val="508D0734"/>
    <w:rsid w:val="529142FD"/>
    <w:rsid w:val="539A247A"/>
    <w:rsid w:val="58023124"/>
    <w:rsid w:val="5AD34EF1"/>
    <w:rsid w:val="62942965"/>
    <w:rsid w:val="63A4262B"/>
    <w:rsid w:val="6415417E"/>
    <w:rsid w:val="64DC5E79"/>
    <w:rsid w:val="6787125F"/>
    <w:rsid w:val="692B6672"/>
    <w:rsid w:val="6E4016B7"/>
    <w:rsid w:val="6E944F51"/>
    <w:rsid w:val="6F6F69B0"/>
    <w:rsid w:val="6FEE1626"/>
    <w:rsid w:val="7A7E52F8"/>
    <w:rsid w:val="7B666E59"/>
    <w:rsid w:val="7B7F2526"/>
    <w:rsid w:val="B7FFF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 w:cs="Arial"/>
      <w:sz w:val="32"/>
      <w:szCs w:val="24"/>
      <w:lang w:val="en-US" w:eastAsia="zh-CN" w:bidi="ar-SA"/>
    </w:rPr>
  </w:style>
  <w:style w:type="paragraph" w:styleId="2">
    <w:name w:val="heading 1"/>
    <w:basedOn w:val="1"/>
    <w:next w:val="1"/>
    <w:link w:val="23"/>
    <w:qFormat/>
    <w:uiPriority w:val="0"/>
    <w:pPr>
      <w:spacing w:before="0" w:beforeAutospacing="0" w:after="0" w:afterAutospacing="0"/>
      <w:ind w:firstLine="200" w:firstLineChars="200"/>
      <w:jc w:val="left"/>
      <w:outlineLvl w:val="0"/>
    </w:pPr>
    <w:rPr>
      <w:rFonts w:ascii="Times New Roman" w:hAnsi="Times New Roman" w:eastAsia="黑体" w:cs="Times New Roman"/>
      <w:kern w:val="44"/>
      <w:sz w:val="32"/>
      <w:szCs w:val="32"/>
    </w:rPr>
  </w:style>
  <w:style w:type="paragraph" w:styleId="3">
    <w:name w:val="heading 2"/>
    <w:basedOn w:val="1"/>
    <w:next w:val="1"/>
    <w:link w:val="24"/>
    <w:qFormat/>
    <w:uiPriority w:val="0"/>
    <w:pPr>
      <w:spacing w:before="0" w:beforeAutospacing="1" w:after="0" w:afterAutospacing="1"/>
      <w:jc w:val="left"/>
      <w:outlineLvl w:val="1"/>
    </w:pPr>
    <w:rPr>
      <w:rFonts w:ascii="宋体" w:hAnsi="宋体" w:eastAsia="宋体" w:cs="宋体"/>
      <w:b/>
      <w:bCs/>
      <w:kern w:val="0"/>
      <w:sz w:val="36"/>
      <w:szCs w:val="36"/>
      <w:lang w:val="en-US" w:eastAsia="zh-CN"/>
    </w:rPr>
  </w:style>
  <w:style w:type="paragraph" w:styleId="4">
    <w:name w:val="heading 3"/>
    <w:basedOn w:val="1"/>
    <w:next w:val="1"/>
    <w:link w:val="25"/>
    <w:qFormat/>
    <w:uiPriority w:val="0"/>
    <w:pPr>
      <w:spacing w:before="0" w:beforeAutospacing="0" w:after="0" w:afterAutospacing="0"/>
      <w:jc w:val="left"/>
      <w:outlineLvl w:val="2"/>
    </w:pPr>
    <w:rPr>
      <w:rFonts w:ascii="宋体" w:hAnsi="宋体" w:eastAsia="宋体" w:cs="宋体"/>
      <w:b/>
      <w:bCs/>
      <w:kern w:val="0"/>
      <w:sz w:val="27"/>
      <w:szCs w:val="27"/>
    </w:rPr>
  </w:style>
  <w:style w:type="paragraph" w:styleId="5">
    <w:name w:val="heading 4"/>
    <w:basedOn w:val="1"/>
    <w:next w:val="1"/>
    <w:link w:val="26"/>
    <w:qFormat/>
    <w:uiPriority w:val="0"/>
    <w:pPr>
      <w:spacing w:before="0" w:beforeAutospacing="0" w:after="0" w:afterAutospacing="0"/>
      <w:jc w:val="left"/>
      <w:outlineLvl w:val="3"/>
    </w:pPr>
    <w:rPr>
      <w:rFonts w:eastAsia="方正楷体_GB2312" w:cs="Times New Roman"/>
      <w:kern w:val="0"/>
    </w:rPr>
  </w:style>
  <w:style w:type="paragraph" w:styleId="6">
    <w:name w:val="heading 5"/>
    <w:basedOn w:val="1"/>
    <w:next w:val="1"/>
    <w:link w:val="27"/>
    <w:qFormat/>
    <w:uiPriority w:val="0"/>
    <w:pPr>
      <w:keepNext/>
      <w:keepLines/>
      <w:numPr>
        <w:ilvl w:val="4"/>
        <w:numId w:val="1"/>
      </w:numPr>
      <w:spacing w:before="280" w:beforeAutospacing="0" w:after="290" w:afterAutospacing="0" w:line="372" w:lineRule="auto"/>
      <w:ind w:left="0" w:firstLine="402" w:firstLineChars="0"/>
      <w:outlineLvl w:val="4"/>
    </w:pPr>
    <w:rPr>
      <w:b/>
      <w:sz w:val="28"/>
    </w:rPr>
  </w:style>
  <w:style w:type="paragraph" w:styleId="7">
    <w:name w:val="heading 6"/>
    <w:basedOn w:val="1"/>
    <w:next w:val="1"/>
    <w:link w:val="28"/>
    <w:qFormat/>
    <w:uiPriority w:val="0"/>
    <w:pPr>
      <w:keepNext/>
      <w:keepLines/>
      <w:numPr>
        <w:ilvl w:val="5"/>
        <w:numId w:val="1"/>
      </w:numPr>
      <w:spacing w:before="240" w:beforeAutospacing="0" w:after="64" w:afterAutospacing="0" w:line="317" w:lineRule="auto"/>
      <w:ind w:left="0" w:firstLine="402" w:firstLineChars="0"/>
      <w:outlineLvl w:val="5"/>
    </w:pPr>
    <w:rPr>
      <w:rFonts w:ascii="Arial" w:hAnsi="Arial" w:eastAsia="黑体"/>
      <w:b/>
      <w:sz w:val="24"/>
    </w:rPr>
  </w:style>
  <w:style w:type="paragraph" w:styleId="8">
    <w:name w:val="heading 7"/>
    <w:basedOn w:val="1"/>
    <w:next w:val="1"/>
    <w:link w:val="29"/>
    <w:qFormat/>
    <w:uiPriority w:val="0"/>
    <w:pPr>
      <w:keepNext/>
      <w:keepLines/>
      <w:numPr>
        <w:ilvl w:val="6"/>
        <w:numId w:val="1"/>
      </w:numPr>
      <w:spacing w:before="240" w:beforeAutospacing="0" w:after="64" w:afterAutospacing="0" w:line="317" w:lineRule="auto"/>
      <w:ind w:left="0" w:firstLine="402" w:firstLineChars="0"/>
      <w:outlineLvl w:val="6"/>
    </w:pPr>
    <w:rPr>
      <w:b/>
      <w:sz w:val="24"/>
    </w:rPr>
  </w:style>
  <w:style w:type="paragraph" w:styleId="9">
    <w:name w:val="heading 8"/>
    <w:basedOn w:val="1"/>
    <w:next w:val="1"/>
    <w:link w:val="30"/>
    <w:qFormat/>
    <w:uiPriority w:val="0"/>
    <w:pPr>
      <w:keepNext/>
      <w:keepLines/>
      <w:numPr>
        <w:ilvl w:val="7"/>
        <w:numId w:val="1"/>
      </w:numPr>
      <w:spacing w:before="240" w:beforeAutospacing="0" w:after="64" w:afterAutospacing="0" w:line="317" w:lineRule="auto"/>
      <w:ind w:left="0" w:firstLine="402" w:firstLineChars="0"/>
      <w:outlineLvl w:val="7"/>
    </w:pPr>
    <w:rPr>
      <w:rFonts w:ascii="Arial" w:hAnsi="Arial" w:eastAsia="黑体"/>
      <w:sz w:val="24"/>
    </w:rPr>
  </w:style>
  <w:style w:type="paragraph" w:styleId="10">
    <w:name w:val="heading 9"/>
    <w:basedOn w:val="1"/>
    <w:next w:val="1"/>
    <w:link w:val="31"/>
    <w:qFormat/>
    <w:uiPriority w:val="0"/>
    <w:pPr>
      <w:keepNext/>
      <w:keepLines/>
      <w:numPr>
        <w:ilvl w:val="8"/>
        <w:numId w:val="1"/>
      </w:numPr>
      <w:spacing w:before="240" w:beforeAutospacing="0" w:after="64" w:afterAutospacing="0" w:line="317" w:lineRule="auto"/>
      <w:ind w:left="0" w:firstLine="402" w:firstLineChars="0"/>
      <w:outlineLvl w:val="8"/>
    </w:pPr>
    <w:rPr>
      <w:rFonts w:ascii="Arial" w:hAnsi="Arial" w:eastAsia="黑体"/>
      <w:sz w:val="21"/>
    </w:rPr>
  </w:style>
  <w:style w:type="character" w:default="1" w:styleId="17">
    <w:name w:val="Default Paragraph Font"/>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11">
    <w:name w:val="Body Text"/>
    <w:basedOn w:val="1"/>
    <w:qFormat/>
    <w:uiPriority w:val="0"/>
    <w:pPr>
      <w:spacing w:after="120" w:afterAutospacing="0"/>
    </w:pPr>
  </w:style>
  <w:style w:type="paragraph" w:styleId="12">
    <w:name w:val="footer"/>
    <w:basedOn w:val="1"/>
    <w:qFormat/>
    <w:uiPriority w:val="0"/>
    <w:pPr>
      <w:tabs>
        <w:tab w:val="center" w:pos="4153"/>
        <w:tab w:val="right" w:pos="8306"/>
      </w:tabs>
      <w:snapToGrid w:val="0"/>
      <w:ind w:firstLine="0" w:firstLineChars="0"/>
      <w:jc w:val="left"/>
    </w:pPr>
    <w:rPr>
      <w:rFonts w:ascii="Times New Roman" w:hAnsi="Times New Roman"/>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Body Text First Indent"/>
    <w:basedOn w:val="11"/>
    <w:qFormat/>
    <w:uiPriority w:val="0"/>
    <w:pPr>
      <w:ind w:firstLine="100" w:firstLineChars="1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paragraph" w:styleId="20">
    <w:name w:val="List Paragraph"/>
    <w:basedOn w:val="1"/>
    <w:autoRedefine/>
    <w:qFormat/>
    <w:uiPriority w:val="0"/>
    <w:pPr>
      <w:spacing w:line="240" w:lineRule="auto"/>
      <w:ind w:left="0" w:firstLine="0" w:firstLineChars="0"/>
    </w:pPr>
    <w:rPr>
      <w:rFonts w:ascii="Calibri" w:hAnsi="Calibri" w:eastAsia="仿宋"/>
      <w:sz w:val="24"/>
      <w:szCs w:val="22"/>
    </w:rPr>
  </w:style>
  <w:style w:type="paragraph" w:customStyle="1" w:styleId="21">
    <w:name w:val="表格"/>
    <w:basedOn w:val="1"/>
    <w:qFormat/>
    <w:uiPriority w:val="0"/>
    <w:pPr>
      <w:spacing w:line="240" w:lineRule="auto"/>
      <w:ind w:firstLine="0" w:firstLineChars="0"/>
    </w:pPr>
    <w:rPr>
      <w:sz w:val="24"/>
      <w:szCs w:val="24"/>
    </w:rPr>
  </w:style>
  <w:style w:type="paragraph" w:customStyle="1" w:styleId="22">
    <w:name w:val="注释"/>
    <w:basedOn w:val="1"/>
    <w:qFormat/>
    <w:uiPriority w:val="0"/>
    <w:pPr>
      <w:spacing w:line="240" w:lineRule="auto"/>
      <w:ind w:firstLine="0" w:firstLineChars="0"/>
    </w:pPr>
    <w:rPr>
      <w:rFonts w:ascii="Times New Roman" w:hAnsi="Times New Roman" w:eastAsia="楷体"/>
      <w:b/>
      <w:color w:val="FF0000"/>
      <w:sz w:val="24"/>
    </w:rPr>
  </w:style>
  <w:style w:type="character" w:customStyle="1" w:styleId="23">
    <w:name w:val="heading 1 Char"/>
    <w:basedOn w:val="17"/>
    <w:link w:val="2"/>
    <w:qFormat/>
    <w:uiPriority w:val="0"/>
    <w:rPr>
      <w:rFonts w:ascii="Times New Roman" w:hAnsi="Times New Roman" w:eastAsia="黑体" w:cs="Times New Roman"/>
      <w:kern w:val="44"/>
      <w:sz w:val="32"/>
      <w:szCs w:val="32"/>
      <w:lang w:val="en-US" w:eastAsia="zh-CN" w:bidi="ar-SA"/>
    </w:rPr>
  </w:style>
  <w:style w:type="character" w:customStyle="1" w:styleId="24">
    <w:name w:val="heading 2 Char"/>
    <w:basedOn w:val="17"/>
    <w:link w:val="3"/>
    <w:qFormat/>
    <w:uiPriority w:val="0"/>
    <w:rPr>
      <w:rFonts w:ascii="宋体" w:hAnsi="宋体" w:eastAsia="宋体" w:cs="宋体"/>
      <w:b/>
      <w:bCs/>
      <w:kern w:val="0"/>
      <w:sz w:val="36"/>
      <w:szCs w:val="36"/>
      <w:lang w:val="en-US" w:eastAsia="zh-CN" w:bidi="ar-SA"/>
    </w:rPr>
  </w:style>
  <w:style w:type="character" w:customStyle="1" w:styleId="25">
    <w:name w:val="heading 3 Char"/>
    <w:basedOn w:val="17"/>
    <w:link w:val="4"/>
    <w:qFormat/>
    <w:uiPriority w:val="0"/>
    <w:rPr>
      <w:rFonts w:ascii="宋体" w:hAnsi="宋体" w:eastAsia="宋体" w:cs="宋体"/>
      <w:b/>
      <w:bCs/>
      <w:kern w:val="0"/>
      <w:sz w:val="27"/>
      <w:szCs w:val="27"/>
      <w:lang w:val="en-US" w:eastAsia="zh-CN" w:bidi="ar-SA"/>
    </w:rPr>
  </w:style>
  <w:style w:type="character" w:customStyle="1" w:styleId="26">
    <w:name w:val="heading 4 Char"/>
    <w:basedOn w:val="17"/>
    <w:link w:val="5"/>
    <w:qFormat/>
    <w:uiPriority w:val="0"/>
    <w:rPr>
      <w:rFonts w:ascii="Times New Roman" w:hAnsi="Times New Roman" w:eastAsia="方正楷体_GB2312" w:cs="Times New Roman"/>
      <w:kern w:val="0"/>
      <w:sz w:val="32"/>
      <w:szCs w:val="24"/>
      <w:lang w:val="en-US" w:eastAsia="zh-CN" w:bidi="ar-SA"/>
    </w:rPr>
  </w:style>
  <w:style w:type="character" w:customStyle="1" w:styleId="27">
    <w:name w:val="heading 5 Char"/>
    <w:basedOn w:val="17"/>
    <w:link w:val="6"/>
    <w:qFormat/>
    <w:uiPriority w:val="0"/>
    <w:rPr>
      <w:rFonts w:ascii="Times New Roman" w:hAnsi="Times New Roman" w:eastAsia="仿宋" w:cs="Arial"/>
      <w:b/>
      <w:sz w:val="28"/>
      <w:szCs w:val="24"/>
      <w:lang w:val="en-US" w:eastAsia="zh-CN" w:bidi="ar-SA"/>
    </w:rPr>
  </w:style>
  <w:style w:type="character" w:customStyle="1" w:styleId="28">
    <w:name w:val="heading 6 Char"/>
    <w:basedOn w:val="17"/>
    <w:link w:val="7"/>
    <w:qFormat/>
    <w:uiPriority w:val="0"/>
    <w:rPr>
      <w:rFonts w:ascii="Arial" w:hAnsi="Arial" w:eastAsia="黑体" w:cs="Arial"/>
      <w:b/>
      <w:sz w:val="24"/>
      <w:szCs w:val="24"/>
      <w:lang w:val="en-US" w:eastAsia="zh-CN" w:bidi="ar-SA"/>
    </w:rPr>
  </w:style>
  <w:style w:type="character" w:customStyle="1" w:styleId="29">
    <w:name w:val="heading 7 Char"/>
    <w:basedOn w:val="17"/>
    <w:link w:val="8"/>
    <w:qFormat/>
    <w:uiPriority w:val="0"/>
    <w:rPr>
      <w:rFonts w:ascii="Times New Roman" w:hAnsi="Times New Roman" w:eastAsia="仿宋" w:cs="Arial"/>
      <w:b/>
      <w:sz w:val="24"/>
      <w:szCs w:val="24"/>
      <w:lang w:val="en-US" w:eastAsia="zh-CN" w:bidi="ar-SA"/>
    </w:rPr>
  </w:style>
  <w:style w:type="character" w:customStyle="1" w:styleId="30">
    <w:name w:val="heading 8 Char"/>
    <w:basedOn w:val="17"/>
    <w:link w:val="9"/>
    <w:qFormat/>
    <w:uiPriority w:val="0"/>
    <w:rPr>
      <w:rFonts w:ascii="Arial" w:hAnsi="Arial" w:eastAsia="黑体" w:cs="Arial"/>
      <w:sz w:val="24"/>
      <w:szCs w:val="24"/>
      <w:lang w:val="en-US" w:eastAsia="zh-CN" w:bidi="ar-SA"/>
    </w:rPr>
  </w:style>
  <w:style w:type="character" w:customStyle="1" w:styleId="31">
    <w:name w:val="heading 9 Char"/>
    <w:basedOn w:val="17"/>
    <w:link w:val="10"/>
    <w:qFormat/>
    <w:uiPriority w:val="0"/>
    <w:rPr>
      <w:rFonts w:ascii="Arial" w:hAnsi="Arial" w:eastAsia="黑体" w:cs="Arial"/>
      <w:sz w:val="21"/>
      <w:szCs w:val="24"/>
      <w:lang w:val="en-US" w:eastAsia="zh-CN" w:bidi="ar-SA"/>
    </w:rPr>
  </w:style>
  <w:style w:type="character" w:customStyle="1" w:styleId="32">
    <w:name w:val="font21"/>
    <w:basedOn w:val="17"/>
    <w:qFormat/>
    <w:uiPriority w:val="0"/>
    <w:rPr>
      <w:rFonts w:ascii="Calibri" w:hAnsi="Calibri" w:cs="Calibri"/>
      <w:color w:val="000000"/>
      <w:sz w:val="22"/>
      <w:szCs w:val="22"/>
      <w:u w:val="none"/>
    </w:rPr>
  </w:style>
  <w:style w:type="character" w:customStyle="1" w:styleId="33">
    <w:name w:val="font31"/>
    <w:basedOn w:val="17"/>
    <w:qFormat/>
    <w:uiPriority w:val="0"/>
    <w:rPr>
      <w:rFonts w:ascii="宋体" w:hAnsi="宋体" w:eastAsia="宋体" w:cs="宋体"/>
      <w:color w:val="000000"/>
      <w:sz w:val="22"/>
      <w:szCs w:val="22"/>
      <w:u w:val="none"/>
    </w:rPr>
  </w:style>
  <w:style w:type="character" w:customStyle="1" w:styleId="34">
    <w:name w:val="font51"/>
    <w:basedOn w:val="17"/>
    <w:qFormat/>
    <w:uiPriority w:val="0"/>
    <w:rPr>
      <w:rFonts w:hint="eastAsia" w:ascii="仿宋_GB2312" w:eastAsia="仿宋_GB2312" w:cs="仿宋_GB2312"/>
      <w:color w:val="000000"/>
      <w:sz w:val="18"/>
      <w:szCs w:val="18"/>
      <w:u w:val="none"/>
    </w:rPr>
  </w:style>
  <w:style w:type="character" w:customStyle="1" w:styleId="35">
    <w:name w:val="font01"/>
    <w:basedOn w:val="17"/>
    <w:qFormat/>
    <w:uiPriority w:val="0"/>
    <w:rPr>
      <w:rFonts w:hint="eastAsia" w:ascii="宋体" w:hAnsi="宋体" w:eastAsia="宋体" w:cs="宋体"/>
      <w:color w:val="000000"/>
      <w:sz w:val="24"/>
      <w:szCs w:val="24"/>
      <w:u w:val="none"/>
    </w:rPr>
  </w:style>
  <w:style w:type="character" w:customStyle="1" w:styleId="36">
    <w:name w:val="font61"/>
    <w:basedOn w:val="17"/>
    <w:qFormat/>
    <w:uiPriority w:val="0"/>
    <w:rPr>
      <w:rFonts w:hint="default" w:ascii="Times New Roman" w:hAnsi="Times New Roman" w:cs="Times New Roman"/>
      <w:color w:val="000000"/>
      <w:sz w:val="12"/>
      <w:szCs w:val="12"/>
      <w:u w:val="none"/>
    </w:rPr>
  </w:style>
  <w:style w:type="character" w:customStyle="1" w:styleId="37">
    <w:name w:val="font71"/>
    <w:basedOn w:val="17"/>
    <w:qFormat/>
    <w:uiPriority w:val="0"/>
    <w:rPr>
      <w:rFonts w:hint="default" w:ascii="Arial" w:hAnsi="Arial" w:cs="Arial"/>
      <w:color w:val="000000"/>
      <w:sz w:val="12"/>
      <w:szCs w:val="12"/>
      <w:u w:val="none"/>
    </w:rPr>
  </w:style>
  <w:style w:type="character" w:customStyle="1" w:styleId="38">
    <w:name w:val="font11"/>
    <w:basedOn w:val="17"/>
    <w:qFormat/>
    <w:uiPriority w:val="0"/>
    <w:rPr>
      <w:rFonts w:hint="eastAsia" w:ascii="微软雅黑" w:hAnsi="微软雅黑" w:eastAsia="微软雅黑" w:cs="微软雅黑"/>
      <w:color w:val="000000"/>
      <w:sz w:val="24"/>
      <w:szCs w:val="24"/>
      <w:u w:val="none"/>
    </w:rPr>
  </w:style>
  <w:style w:type="character" w:customStyle="1" w:styleId="39">
    <w:name w:val="font41"/>
    <w:basedOn w:val="17"/>
    <w:qFormat/>
    <w:uiPriority w:val="0"/>
    <w:rPr>
      <w:rFonts w:ascii="Arial" w:hAnsi="Arial" w:cs="Arial"/>
      <w:color w:val="000000"/>
      <w:sz w:val="24"/>
      <w:szCs w:val="24"/>
      <w:u w:val="none"/>
    </w:rPr>
  </w:style>
  <w:style w:type="character" w:customStyle="1" w:styleId="40">
    <w:name w:val="font101"/>
    <w:basedOn w:val="17"/>
    <w:qFormat/>
    <w:uiPriority w:val="0"/>
    <w:rPr>
      <w:rFonts w:hint="default" w:ascii="Times New Roman" w:hAnsi="Times New Roman" w:cs="Times New Roman"/>
      <w:color w:val="000000"/>
      <w:sz w:val="12"/>
      <w:szCs w:val="12"/>
      <w:u w:val="none"/>
    </w:rPr>
  </w:style>
  <w:style w:type="character" w:customStyle="1" w:styleId="41">
    <w:name w:val="font112"/>
    <w:basedOn w:val="17"/>
    <w:qFormat/>
    <w:uiPriority w:val="0"/>
    <w:rPr>
      <w:rFonts w:hint="eastAsia" w:ascii="宋体" w:hAnsi="宋体" w:eastAsia="宋体" w:cs="宋体"/>
      <w:color w:val="FFFFCC"/>
      <w:sz w:val="12"/>
      <w:szCs w:val="12"/>
      <w:u w:val="none"/>
    </w:rPr>
  </w:style>
  <w:style w:type="character" w:customStyle="1" w:styleId="42">
    <w:name w:val="font81"/>
    <w:basedOn w:val="17"/>
    <w:qFormat/>
    <w:uiPriority w:val="0"/>
    <w:rPr>
      <w:rFonts w:hint="eastAsia" w:ascii="微软雅黑" w:hAnsi="微软雅黑" w:eastAsia="微软雅黑" w:cs="微软雅黑"/>
      <w:color w:val="000000"/>
      <w:sz w:val="12"/>
      <w:szCs w:val="12"/>
      <w:u w:val="none"/>
    </w:rPr>
  </w:style>
  <w:style w:type="character" w:customStyle="1" w:styleId="43">
    <w:name w:val="font121"/>
    <w:basedOn w:val="17"/>
    <w:qFormat/>
    <w:uiPriority w:val="0"/>
    <w:rPr>
      <w:rFonts w:hint="default" w:ascii="Times New Roman" w:hAnsi="Times New Roman" w:cs="Times New Roman"/>
      <w:color w:val="000000"/>
      <w:sz w:val="24"/>
      <w:szCs w:val="24"/>
      <w:u w:val="none"/>
    </w:rPr>
  </w:style>
  <w:style w:type="character" w:customStyle="1" w:styleId="44">
    <w:name w:val="font91"/>
    <w:basedOn w:val="17"/>
    <w:qFormat/>
    <w:uiPriority w:val="0"/>
    <w:rPr>
      <w:rFonts w:hint="default" w:ascii="Arial" w:hAnsi="Arial" w:cs="Arial"/>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20737B-7AB8-4D75-951B-19F5FF2C76F9}">
  <ds:schemaRefs/>
</ds:datastoreItem>
</file>

<file path=docProps/app.xml><?xml version="1.0" encoding="utf-8"?>
<Properties xmlns="http://schemas.openxmlformats.org/officeDocument/2006/extended-properties" xmlns:vt="http://schemas.openxmlformats.org/officeDocument/2006/docPropsVTypes">
  <Template>Normal.eit</Template>
  <Pages>10</Pages>
  <Words>676</Words>
  <Characters>775</Characters>
  <Lines>0</Lines>
  <Paragraphs>22</Paragraphs>
  <TotalTime>4</TotalTime>
  <ScaleCrop>false</ScaleCrop>
  <LinksUpToDate>false</LinksUpToDate>
  <CharactersWithSpaces>806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2025-03-22T13:34:00Z</dcterms:created>
  <dc:creator>lenovo</dc:creator>
  <cp:lastModifiedBy>布布布丁</cp:lastModifiedBy>
  <cp:lastPrinted>2026-07-25T07:00:00Z</cp:lastPrinted>
  <dcterms:modified xsi:type="dcterms:W3CDTF">2026-09-16T06:06:05Z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CD0CFA94ECE64FEEB92CF382D2ECC1A7_13</vt:lpwstr>
  </property>
  <property fmtid="{D5CDD505-2E9C-101B-9397-08002B2CF9AE}" pid="4" name="KSOTemplateDocerSaveRecord">
    <vt:lpwstr>eyJoZGlkIjoiNTBhNWEzODZjMzlhY2VhNGEzOTE5ZjkzNDllM2I2OWUiLCJ1c2VySWQiOiIyNDg0NDkxOTYifQ==</vt:lpwstr>
  </property>
</Properties>
</file>