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58B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08C49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询比采购文件</w:t>
      </w:r>
    </w:p>
    <w:p w14:paraId="5E8A2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4FBBEEAE">
      <w:pPr>
        <w:pStyle w:val="3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一、</w:t>
      </w:r>
      <w:r>
        <w:rPr>
          <w:rFonts w:hint="default" w:ascii="Times New Roman" w:hAnsi="Times New Roman" w:cs="Times New Roman"/>
        </w:rPr>
        <w:t>项目概况</w:t>
      </w:r>
    </w:p>
    <w:p w14:paraId="0A051DFC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1.项目名称：</w:t>
      </w:r>
    </w:p>
    <w:p w14:paraId="7750FCB3">
      <w:pPr>
        <w:pStyle w:val="27"/>
        <w:bidi w:val="0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吉林省智慧水利科技有限公司智慧工地机房系统采购项目</w:t>
      </w:r>
    </w:p>
    <w:p w14:paraId="1318C43B">
      <w:pPr>
        <w:bidi w:val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2.项目编号：</w:t>
      </w:r>
    </w:p>
    <w:p w14:paraId="6A7250B8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ZKXB-2026-ZHGD-001</w:t>
      </w:r>
    </w:p>
    <w:p w14:paraId="2F86D6FE">
      <w:pPr>
        <w:bidi w:val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3.采购单位：</w:t>
      </w:r>
    </w:p>
    <w:p w14:paraId="48B30E68">
      <w:pPr>
        <w:pStyle w:val="27"/>
        <w:bidi w:val="0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吉林省智慧水利科技有限公司</w:t>
      </w:r>
    </w:p>
    <w:p w14:paraId="238B043E">
      <w:pPr>
        <w:numPr>
          <w:ilvl w:val="0"/>
          <w:numId w:val="0"/>
        </w:numPr>
        <w:bidi w:val="0"/>
        <w:ind w:firstLine="64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4.采购内容及技术/服务要求：</w: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337"/>
        <w:gridCol w:w="4068"/>
        <w:gridCol w:w="696"/>
        <w:gridCol w:w="738"/>
        <w:gridCol w:w="823"/>
      </w:tblGrid>
      <w:tr w14:paraId="19D52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</w:tcPr>
          <w:p w14:paraId="5CAB19F0"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37" w:type="dxa"/>
          </w:tcPr>
          <w:p w14:paraId="76260A8D"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4068" w:type="dxa"/>
          </w:tcPr>
          <w:p w14:paraId="37935E3F"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产品型号</w:t>
            </w:r>
          </w:p>
        </w:tc>
        <w:tc>
          <w:tcPr>
            <w:tcW w:w="696" w:type="dxa"/>
            <w:vAlign w:val="top"/>
          </w:tcPr>
          <w:p w14:paraId="1782DD10"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738" w:type="dxa"/>
            <w:vAlign w:val="top"/>
          </w:tcPr>
          <w:p w14:paraId="5F66B5DC"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823" w:type="dxa"/>
          </w:tcPr>
          <w:p w14:paraId="37D6D465"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6F850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center"/>
          </w:tcPr>
          <w:p w14:paraId="298D41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37" w:type="dxa"/>
            <w:vAlign w:val="center"/>
          </w:tcPr>
          <w:p w14:paraId="2E92C7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4068" w:type="dxa"/>
            <w:vAlign w:val="center"/>
          </w:tcPr>
          <w:p w14:paraId="792A71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技术规格：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2U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单路标准机架式服务器</w:t>
            </w:r>
          </w:p>
          <w:p w14:paraId="67B1B8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CPU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：最低配置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1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颗国产C86架构：采用HYGON处理器，</w:t>
            </w:r>
            <w:r>
              <w:rPr>
                <w:rStyle w:val="31"/>
                <w:rFonts w:hint="eastAsia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性能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不低于</w:t>
            </w:r>
            <w:r>
              <w:rPr>
                <w:rStyle w:val="31"/>
                <w:rFonts w:hint="eastAsia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HG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3350系列，或通用X86架构：采用Intel Xeon处理器，</w:t>
            </w:r>
            <w:r>
              <w:rPr>
                <w:rStyle w:val="31"/>
                <w:rFonts w:hint="eastAsia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性能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不低于RH2285系列。CPU核数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≥8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核，频率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≥3.0GHz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，末级缓存容量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≥16 MB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，线程数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≥16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线程，支持内存的最高速率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≥3200 MHz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，通道数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≥2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，位宽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≥64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，热设计功耗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≥65W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；</w:t>
            </w:r>
          </w:p>
          <w:p w14:paraId="3754B9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内存：配置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64G DDR4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，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根内存插槽，最大支持扩展至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256GB</w:t>
            </w:r>
          </w:p>
          <w:p w14:paraId="3CB59C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硬盘：配置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2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块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1.2TB 10K 2.5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 xml:space="preserve">英寸 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SAS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盘，最高支持前置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3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块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3.5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寸（兼容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2.5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寸）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+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后置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块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2.5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寸热插拔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SATA/SAS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硬盘</w:t>
            </w:r>
          </w:p>
          <w:p w14:paraId="245621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阵列卡：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支持RAID 0/1/5/6/10/阵列模式，支持电容数据保护、阵列在线扩容、阵列级别迁移功能；</w:t>
            </w:r>
          </w:p>
          <w:p w14:paraId="286EFE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PCIE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扩展：支持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PCIE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插槽</w:t>
            </w:r>
          </w:p>
          <w:p w14:paraId="07425A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网口：板载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2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个千兆电口，支持选配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10GbE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、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25GbE SFP+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等多种网络接口</w:t>
            </w:r>
          </w:p>
          <w:p w14:paraId="4D63B3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其他接口：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1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个千兆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RJ-45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管理接口，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≥7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USB 3.0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接口，</w:t>
            </w:r>
            <w:r>
              <w:rPr>
                <w:rStyle w:val="32"/>
                <w:rFonts w:hint="eastAsia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支持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VGA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口。</w:t>
            </w:r>
          </w:p>
          <w:p w14:paraId="4AA9A0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电源：配置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360W或以上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电源</w:t>
            </w:r>
          </w:p>
        </w:tc>
        <w:tc>
          <w:tcPr>
            <w:tcW w:w="696" w:type="dxa"/>
            <w:vAlign w:val="center"/>
          </w:tcPr>
          <w:p w14:paraId="0B4CFE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738" w:type="dxa"/>
            <w:vAlign w:val="center"/>
          </w:tcPr>
          <w:p w14:paraId="24E86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823" w:type="dxa"/>
            <w:vAlign w:val="center"/>
          </w:tcPr>
          <w:p w14:paraId="04EFCB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2C3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center"/>
          </w:tcPr>
          <w:p w14:paraId="2698A7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37" w:type="dxa"/>
            <w:vAlign w:val="center"/>
          </w:tcPr>
          <w:p w14:paraId="3A9B31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交换机</w:t>
            </w:r>
          </w:p>
        </w:tc>
        <w:tc>
          <w:tcPr>
            <w:tcW w:w="4068" w:type="dxa"/>
            <w:vAlign w:val="center"/>
          </w:tcPr>
          <w:p w14:paraId="36A268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lang w:val="en-US" w:eastAsia="zh-CN" w:bidi="ar"/>
              </w:rPr>
              <w:t>交换容量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lang w:val="en-US" w:eastAsia="zh-CN" w:bidi="ar"/>
              </w:rPr>
              <w:t>≥192Gbps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lang w:val="en-US" w:eastAsia="zh-CN" w:bidi="ar"/>
              </w:rPr>
              <w:t>，包转发率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lang w:val="en-US" w:eastAsia="zh-CN" w:bidi="ar"/>
              </w:rPr>
              <w:t>≥14.88Mpps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lang w:val="en-US" w:eastAsia="zh-CN" w:bidi="ar"/>
              </w:rPr>
              <w:t>，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≥</w:t>
            </w:r>
            <w:r>
              <w:rPr>
                <w:rStyle w:val="32"/>
                <w:rFonts w:hint="eastAsia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8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10/100/1000Mbps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自适应电口，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≥1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lang w:val="en-US" w:eastAsia="zh-CN" w:bidi="ar"/>
              </w:rPr>
              <w:t>SFP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lang w:val="en-US" w:eastAsia="zh-CN" w:bidi="ar"/>
              </w:rPr>
              <w:t>千兆光口；支持广播风暴抑制、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lang w:val="en-US" w:eastAsia="zh-CN" w:bidi="ar"/>
              </w:rPr>
              <w:t>MAC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lang w:val="en-US" w:eastAsia="zh-CN" w:bidi="ar"/>
              </w:rPr>
              <w:t>地址过滤、端口限速等功能</w:t>
            </w:r>
          </w:p>
        </w:tc>
        <w:tc>
          <w:tcPr>
            <w:tcW w:w="696" w:type="dxa"/>
            <w:vAlign w:val="center"/>
          </w:tcPr>
          <w:p w14:paraId="07273A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738" w:type="dxa"/>
            <w:vAlign w:val="center"/>
          </w:tcPr>
          <w:p w14:paraId="58C706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823" w:type="dxa"/>
            <w:vAlign w:val="center"/>
          </w:tcPr>
          <w:p w14:paraId="1B3C14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3A82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center"/>
          </w:tcPr>
          <w:p w14:paraId="4EEBC2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37" w:type="dxa"/>
            <w:vAlign w:val="center"/>
          </w:tcPr>
          <w:p w14:paraId="527E23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千兆交换机</w:t>
            </w:r>
          </w:p>
        </w:tc>
        <w:tc>
          <w:tcPr>
            <w:tcW w:w="4068" w:type="dxa"/>
            <w:vAlign w:val="center"/>
          </w:tcPr>
          <w:p w14:paraId="663191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千兆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POE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交换机</w:t>
            </w:r>
          </w:p>
          <w:p w14:paraId="3165A2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提供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≥16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个千兆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PoE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电口和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≥2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个千兆光口</w:t>
            </w:r>
          </w:p>
          <w:p w14:paraId="3B7FBB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支持安防网络拓扑管理、端口管理，支持远程升级</w:t>
            </w:r>
          </w:p>
          <w:p w14:paraId="798C0D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支持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6 KV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防浪涌（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PoE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口）</w:t>
            </w:r>
          </w:p>
          <w:p w14:paraId="44FC9A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支持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PoE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输出功率管理，整机最大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PoE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输出功率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≥230 W</w:t>
            </w:r>
          </w:p>
          <w:p w14:paraId="03FBA9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千兆网络接入设计、存储转发交换方式</w:t>
            </w:r>
          </w:p>
        </w:tc>
        <w:tc>
          <w:tcPr>
            <w:tcW w:w="696" w:type="dxa"/>
            <w:vAlign w:val="center"/>
          </w:tcPr>
          <w:p w14:paraId="3F23F9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738" w:type="dxa"/>
            <w:vAlign w:val="center"/>
          </w:tcPr>
          <w:p w14:paraId="62CAF9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823" w:type="dxa"/>
            <w:vAlign w:val="center"/>
          </w:tcPr>
          <w:p w14:paraId="42529C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5C2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center"/>
          </w:tcPr>
          <w:p w14:paraId="181CB3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37" w:type="dxa"/>
            <w:vAlign w:val="center"/>
          </w:tcPr>
          <w:p w14:paraId="003A9E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硬盘</w:t>
            </w:r>
          </w:p>
        </w:tc>
        <w:tc>
          <w:tcPr>
            <w:tcW w:w="4068" w:type="dxa"/>
            <w:vAlign w:val="center"/>
          </w:tcPr>
          <w:p w14:paraId="0C308B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容量：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12TB，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外形规格：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3.5-inch，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接口类型：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SATA，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刻录技术：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CMR</w:t>
            </w:r>
          </w:p>
          <w:p w14:paraId="45ACF0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转速：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7200RPM，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缓存：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512MB，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最大读取速度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≥265MB/s，，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接口传输速率（最大值）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≥6.0Gb/s，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加载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/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卸载周期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≥600,000</w:t>
            </w:r>
            <w:r>
              <w:rPr>
                <w:rStyle w:val="32"/>
                <w:rFonts w:hint="eastAsia" w:cs="Times New Roman"/>
                <w:lang w:val="en-US" w:eastAsia="zh-CN" w:bidi="ar"/>
              </w:rPr>
              <w:t>小时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，MTBF≥2,500,000</w:t>
            </w:r>
            <w:r>
              <w:rPr>
                <w:rStyle w:val="32"/>
                <w:rFonts w:hint="eastAsia" w:cs="Times New Roman"/>
                <w:lang w:val="en-US" w:eastAsia="zh-CN" w:bidi="ar"/>
              </w:rPr>
              <w:t>小时，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年负荷（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TB/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年）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≥550TB</w:t>
            </w:r>
          </w:p>
        </w:tc>
        <w:tc>
          <w:tcPr>
            <w:tcW w:w="696" w:type="dxa"/>
            <w:vAlign w:val="center"/>
          </w:tcPr>
          <w:p w14:paraId="2439BF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738" w:type="dxa"/>
            <w:vAlign w:val="center"/>
          </w:tcPr>
          <w:p w14:paraId="19FB8F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823" w:type="dxa"/>
            <w:vAlign w:val="center"/>
          </w:tcPr>
          <w:p w14:paraId="1C3BA0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8601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center"/>
          </w:tcPr>
          <w:p w14:paraId="6833AF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37" w:type="dxa"/>
            <w:vAlign w:val="center"/>
          </w:tcPr>
          <w:p w14:paraId="369118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4068" w:type="dxa"/>
            <w:vAlign w:val="center"/>
          </w:tcPr>
          <w:p w14:paraId="3B91E2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技术规格：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2U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单路标准机架式服务器</w:t>
            </w:r>
          </w:p>
          <w:p w14:paraId="26EDE9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CPU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：配置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颗国产C86架构：采用HYGON 5435系列及以上规格处理器</w:t>
            </w:r>
            <w:r>
              <w:rPr>
                <w:rStyle w:val="31"/>
                <w:rFonts w:hint="eastAsia" w:cs="Times New Roman"/>
                <w:lang w:val="en-US" w:eastAsia="zh-CN" w:bidi="ar"/>
              </w:rPr>
              <w:t>或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通用X86架构：采用Intel Xeon处理器，性能规格不低于2288HV6对应处理器配置。</w:t>
            </w:r>
          </w:p>
          <w:p w14:paraId="085AAB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核数≥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16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核，线程数≥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32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，频率≥2.5GHz，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TDP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≥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135W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，末级缓存容量≥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32MB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，支持内存的最高速率≥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5200 MHz</w:t>
            </w:r>
          </w:p>
          <w:p w14:paraId="4A3BB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内存：配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128G DDR5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，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4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根内存插槽</w:t>
            </w:r>
          </w:p>
          <w:p w14:paraId="333E67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硬盘：配置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块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480G SSD+2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块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4T 7.2K SATA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，前置最大可选支持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12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块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3.5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寸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(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兼容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2.5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寸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)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热插拔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SATA/SAS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硬盘，后置最大可选支持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块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2.5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寸热插拔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SATA/SAS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硬盘</w:t>
            </w:r>
          </w:p>
          <w:p w14:paraId="2F101F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阵列卡：配置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块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SAS+HBA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卡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(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支持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RAID 0/1/10)</w:t>
            </w:r>
          </w:p>
          <w:p w14:paraId="21C73E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PCIE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扩展：支持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4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PCIe 4.0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扩展插槽</w:t>
            </w:r>
          </w:p>
          <w:p w14:paraId="13066F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网口：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个千兆电口，支持选配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10GbE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25GbE SFP+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等多种网络接口</w:t>
            </w:r>
          </w:p>
          <w:p w14:paraId="1FB2BD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其他接口：≥1个千兆RJ-45管理接口，支持VGA,≥4个USB接口，支持Type-C Debug接口，电源：配置550W或以上电源</w:t>
            </w:r>
          </w:p>
        </w:tc>
        <w:tc>
          <w:tcPr>
            <w:tcW w:w="696" w:type="dxa"/>
            <w:vAlign w:val="center"/>
          </w:tcPr>
          <w:p w14:paraId="1D351B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738" w:type="dxa"/>
            <w:vAlign w:val="center"/>
          </w:tcPr>
          <w:p w14:paraId="7CFB92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823" w:type="dxa"/>
            <w:vAlign w:val="center"/>
          </w:tcPr>
          <w:p w14:paraId="64032B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33F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center"/>
          </w:tcPr>
          <w:p w14:paraId="1D7AEA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337" w:type="dxa"/>
            <w:vAlign w:val="center"/>
          </w:tcPr>
          <w:p w14:paraId="13552C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微型计算机</w:t>
            </w:r>
          </w:p>
        </w:tc>
        <w:tc>
          <w:tcPr>
            <w:tcW w:w="4068" w:type="dxa"/>
            <w:vAlign w:val="center"/>
          </w:tcPr>
          <w:p w14:paraId="24CF7D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CPU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i7-12700(12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核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/2.1GHz)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；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12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核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20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线程或以上，内存：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16GB，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固态硬盘：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256G SSD，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机械硬盘：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2T HDD，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扩展接口：支持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4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SATA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接口，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M.2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接口，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PCIE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×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16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插槽，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PCIE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×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插槽，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10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USB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接口，其中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4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USB3.0，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显示器：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23.8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英寸或以上</w:t>
            </w:r>
          </w:p>
          <w:p w14:paraId="3AE29C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显卡：独立显卡，显存容量≥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2GB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，独立显卡接口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HDMI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，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VGA，需要配置键盘鼠标</w:t>
            </w:r>
          </w:p>
        </w:tc>
        <w:tc>
          <w:tcPr>
            <w:tcW w:w="696" w:type="dxa"/>
            <w:vAlign w:val="center"/>
          </w:tcPr>
          <w:p w14:paraId="527267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738" w:type="dxa"/>
            <w:vAlign w:val="center"/>
          </w:tcPr>
          <w:p w14:paraId="52F8BE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823" w:type="dxa"/>
            <w:vAlign w:val="center"/>
          </w:tcPr>
          <w:p w14:paraId="7D7A0C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105E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772" w:type="dxa"/>
            <w:vAlign w:val="center"/>
          </w:tcPr>
          <w:p w14:paraId="3A6F61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337" w:type="dxa"/>
            <w:vAlign w:val="center"/>
          </w:tcPr>
          <w:p w14:paraId="45053D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下一代防火墙</w:t>
            </w:r>
          </w:p>
        </w:tc>
        <w:tc>
          <w:tcPr>
            <w:tcW w:w="4068" w:type="dxa"/>
            <w:vAlign w:val="center"/>
          </w:tcPr>
          <w:p w14:paraId="2FD78F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冗余电源，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SSD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硬盘≥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480G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，接口不少于：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1*MGMT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（管理口）、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16*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千兆电接口、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8*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千兆光接口、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4*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万兆光接口。至少包含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15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个并发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SSLVPN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用户授权。</w:t>
            </w:r>
          </w:p>
          <w:p w14:paraId="3587CB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网络层吞吐量≥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10G,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应用层吞吐量≥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3G,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最大并发连接数≥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1000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万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,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新建连接数≥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50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万。三年维保，包含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IPS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AV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模块及特征库更新</w:t>
            </w:r>
          </w:p>
        </w:tc>
        <w:tc>
          <w:tcPr>
            <w:tcW w:w="696" w:type="dxa"/>
            <w:vAlign w:val="center"/>
          </w:tcPr>
          <w:p w14:paraId="7B2079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738" w:type="dxa"/>
            <w:vAlign w:val="center"/>
          </w:tcPr>
          <w:p w14:paraId="4A5531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823" w:type="dxa"/>
            <w:vAlign w:val="center"/>
          </w:tcPr>
          <w:p w14:paraId="3D72DB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FC7F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72" w:type="dxa"/>
            <w:vAlign w:val="center"/>
          </w:tcPr>
          <w:p w14:paraId="734FCE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337" w:type="dxa"/>
            <w:vAlign w:val="center"/>
          </w:tcPr>
          <w:p w14:paraId="1AA2E3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网络安全软件</w:t>
            </w:r>
          </w:p>
        </w:tc>
        <w:tc>
          <w:tcPr>
            <w:tcW w:w="4068" w:type="dxa"/>
            <w:vAlign w:val="center"/>
          </w:tcPr>
          <w:p w14:paraId="7A8B6B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使用期限5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年</w:t>
            </w:r>
          </w:p>
        </w:tc>
        <w:tc>
          <w:tcPr>
            <w:tcW w:w="696" w:type="dxa"/>
            <w:vAlign w:val="center"/>
          </w:tcPr>
          <w:p w14:paraId="4904ED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</w:t>
            </w:r>
          </w:p>
        </w:tc>
        <w:tc>
          <w:tcPr>
            <w:tcW w:w="738" w:type="dxa"/>
            <w:vAlign w:val="center"/>
          </w:tcPr>
          <w:p w14:paraId="35B7A9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23" w:type="dxa"/>
            <w:vAlign w:val="center"/>
          </w:tcPr>
          <w:p w14:paraId="4E0FC6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74A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center"/>
          </w:tcPr>
          <w:p w14:paraId="25CF62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337" w:type="dxa"/>
            <w:vAlign w:val="center"/>
          </w:tcPr>
          <w:p w14:paraId="4DEFA8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交换机</w:t>
            </w:r>
          </w:p>
        </w:tc>
        <w:tc>
          <w:tcPr>
            <w:tcW w:w="4068" w:type="dxa"/>
            <w:vAlign w:val="center"/>
          </w:tcPr>
          <w:p w14:paraId="23486E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 xml:space="preserve">24 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 xml:space="preserve">个 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 xml:space="preserve">10/100/1000BASE-T 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端口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(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 xml:space="preserve">含 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8 Combo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口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 xml:space="preserve">),4 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 xml:space="preserve">个 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 xml:space="preserve">1G/10GBASE-X SFP Plus 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端口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 xml:space="preserve">,1 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 xml:space="preserve">个 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Slot</w:t>
            </w:r>
          </w:p>
        </w:tc>
        <w:tc>
          <w:tcPr>
            <w:tcW w:w="696" w:type="dxa"/>
            <w:vAlign w:val="center"/>
          </w:tcPr>
          <w:p w14:paraId="7B3AD1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738" w:type="dxa"/>
            <w:vAlign w:val="center"/>
          </w:tcPr>
          <w:p w14:paraId="5B1713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823" w:type="dxa"/>
            <w:vAlign w:val="center"/>
          </w:tcPr>
          <w:p w14:paraId="5ACEA6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CF1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center"/>
          </w:tcPr>
          <w:p w14:paraId="015295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337" w:type="dxa"/>
            <w:vAlign w:val="center"/>
          </w:tcPr>
          <w:p w14:paraId="75186B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交换机</w:t>
            </w:r>
          </w:p>
        </w:tc>
        <w:tc>
          <w:tcPr>
            <w:tcW w:w="4068" w:type="dxa"/>
            <w:vAlign w:val="center"/>
          </w:tcPr>
          <w:p w14:paraId="38C027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交换容量：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672Gbps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，转发性能：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144Mpps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，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24*10/100/1000BASE-T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电口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+4*1G/10G BASE-X SFP+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端口，内置单电源，无风扇自然散热，支持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IPv4/IPv6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静态路由、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RIP/RIPng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OSPF v2/v3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协议，内置及图形化操作的方式，可实现对网络的统一运维及管理</w:t>
            </w:r>
          </w:p>
        </w:tc>
        <w:tc>
          <w:tcPr>
            <w:tcW w:w="696" w:type="dxa"/>
            <w:vAlign w:val="center"/>
          </w:tcPr>
          <w:p w14:paraId="1AD8EA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738" w:type="dxa"/>
            <w:vAlign w:val="center"/>
          </w:tcPr>
          <w:p w14:paraId="010E01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823" w:type="dxa"/>
            <w:vAlign w:val="center"/>
          </w:tcPr>
          <w:p w14:paraId="70A63B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C0FD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center"/>
          </w:tcPr>
          <w:p w14:paraId="0591AE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337" w:type="dxa"/>
            <w:vAlign w:val="center"/>
          </w:tcPr>
          <w:p w14:paraId="4BC362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UPS主机</w:t>
            </w:r>
          </w:p>
        </w:tc>
        <w:tc>
          <w:tcPr>
            <w:tcW w:w="4068" w:type="dxa"/>
            <w:vAlign w:val="center"/>
          </w:tcPr>
          <w:p w14:paraId="70EA86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额定容量：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10000VA / 9000W</w:t>
            </w:r>
          </w:p>
          <w:p w14:paraId="4F6C9C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输入频率范围：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50/60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±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10%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（自适应）</w:t>
            </w:r>
          </w:p>
          <w:p w14:paraId="541DE8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输入功率因数：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&gt;0.99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（满载）</w:t>
            </w:r>
          </w:p>
          <w:p w14:paraId="3D82DB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输出电压：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208/220/230/240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±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1%</w:t>
            </w:r>
          </w:p>
          <w:p w14:paraId="0FF665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输出频率：市电模式：与电网同步；电池模式：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50/60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±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0.2%</w:t>
            </w:r>
          </w:p>
          <w:p w14:paraId="0E620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整机效率：最高可达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95%</w:t>
            </w:r>
          </w:p>
          <w:p w14:paraId="60D23C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过载能力：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100%-130%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：过载维持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1min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；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130%-150%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：过载维持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1s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；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150%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以上：过载维持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200ms</w:t>
            </w:r>
          </w:p>
          <w:p w14:paraId="0B511A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电池电压：</w:t>
            </w:r>
            <w:r>
              <w:rPr>
                <w:rStyle w:val="32"/>
                <w:rFonts w:hint="eastAsia" w:cs="Times New Roman"/>
                <w:lang w:val="en-US" w:eastAsia="zh-CN" w:bidi="ar"/>
              </w:rPr>
              <w:t>384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 xml:space="preserve">V  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（默认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32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节）</w:t>
            </w:r>
          </w:p>
          <w:p w14:paraId="6ABAD8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输出方式（塔式）：输出插座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+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接线排</w:t>
            </w:r>
          </w:p>
          <w:p w14:paraId="0CAD73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通信功能：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RS232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USB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SNMP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、干接点、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EPO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等</w:t>
            </w:r>
          </w:p>
          <w:p w14:paraId="7AF01D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保护功能：电池欠压保护、过载保护、短路保护、过温保护、输入过压保护</w:t>
            </w:r>
          </w:p>
          <w:p w14:paraId="0DF657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告警功能：电池低压、市电异常、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UPS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故障、输出过载、输出短路</w:t>
            </w:r>
          </w:p>
        </w:tc>
        <w:tc>
          <w:tcPr>
            <w:tcW w:w="696" w:type="dxa"/>
            <w:vAlign w:val="center"/>
          </w:tcPr>
          <w:p w14:paraId="6E6EC3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738" w:type="dxa"/>
            <w:vAlign w:val="center"/>
          </w:tcPr>
          <w:p w14:paraId="1BB399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23" w:type="dxa"/>
            <w:vAlign w:val="center"/>
          </w:tcPr>
          <w:p w14:paraId="40F45A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076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center"/>
          </w:tcPr>
          <w:p w14:paraId="04498E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337" w:type="dxa"/>
            <w:vAlign w:val="center"/>
          </w:tcPr>
          <w:p w14:paraId="71A89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12V阀控式铅酸蓄电池</w:t>
            </w:r>
          </w:p>
        </w:tc>
        <w:tc>
          <w:tcPr>
            <w:tcW w:w="4068" w:type="dxa"/>
            <w:vAlign w:val="center"/>
          </w:tcPr>
          <w:p w14:paraId="36EFAB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标称电压：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12V</w:t>
            </w:r>
          </w:p>
          <w:p w14:paraId="18D0BB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额定容量：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100Ah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（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C10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，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1.8V/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单体、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25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℃）</w:t>
            </w:r>
          </w:p>
        </w:tc>
        <w:tc>
          <w:tcPr>
            <w:tcW w:w="696" w:type="dxa"/>
            <w:vAlign w:val="center"/>
          </w:tcPr>
          <w:p w14:paraId="036CBC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块</w:t>
            </w:r>
          </w:p>
        </w:tc>
        <w:tc>
          <w:tcPr>
            <w:tcW w:w="738" w:type="dxa"/>
            <w:vAlign w:val="center"/>
          </w:tcPr>
          <w:p w14:paraId="77D8A3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823" w:type="dxa"/>
            <w:vAlign w:val="center"/>
          </w:tcPr>
          <w:p w14:paraId="2255C8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7CA92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备注：</w:t>
      </w:r>
    </w:p>
    <w:p w14:paraId="4A72A3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（1）</w:t>
      </w:r>
      <w:r>
        <w:rPr>
          <w:rFonts w:hint="default" w:ascii="Times New Roman" w:hAnsi="Times New Roman" w:cs="Times New Roman"/>
          <w:lang w:val="en-US" w:eastAsia="zh-CN"/>
        </w:rPr>
        <w:t>服务器需同一品牌并且统一架构，交换机需同一品牌，硬盘需同一品牌，12V阀控式铅酸蓄电池需同一品牌;</w:t>
      </w:r>
    </w:p>
    <w:p w14:paraId="3282DB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）</w:t>
      </w:r>
      <w:r>
        <w:rPr>
          <w:rFonts w:hint="default" w:ascii="Times New Roman" w:hAnsi="Times New Roman" w:cs="Times New Roman"/>
          <w:lang w:val="en-US" w:eastAsia="zh-CN"/>
        </w:rPr>
        <w:t>包含服务器所需平台软件及数据库软件;</w:t>
      </w:r>
    </w:p>
    <w:p w14:paraId="3FA72E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3</w:t>
      </w:r>
      <w:r>
        <w:rPr>
          <w:rFonts w:hint="default" w:ascii="Times New Roman" w:hAnsi="Times New Roman" w:cs="Times New Roman"/>
        </w:rPr>
        <w:t>）</w:t>
      </w:r>
      <w:r>
        <w:rPr>
          <w:rFonts w:hint="default" w:ascii="Times New Roman" w:hAnsi="Times New Roman" w:cs="Times New Roman"/>
          <w:lang w:val="en-US" w:eastAsia="zh-CN"/>
        </w:rPr>
        <w:t>中选人需提供技术支持需派人在现场进行</w:t>
      </w:r>
      <w:r>
        <w:rPr>
          <w:rFonts w:hint="eastAsia" w:cs="Times New Roman"/>
          <w:lang w:val="en-US" w:eastAsia="zh-CN"/>
        </w:rPr>
        <w:t>配合</w:t>
      </w:r>
      <w:r>
        <w:rPr>
          <w:rFonts w:hint="default" w:ascii="Times New Roman" w:hAnsi="Times New Roman" w:cs="Times New Roman"/>
          <w:lang w:val="en-US" w:eastAsia="zh-CN"/>
        </w:rPr>
        <w:t>安装</w:t>
      </w:r>
      <w:r>
        <w:rPr>
          <w:rFonts w:hint="eastAsia" w:cs="Times New Roman"/>
          <w:lang w:val="en-US" w:eastAsia="zh-CN"/>
        </w:rPr>
        <w:t>服务</w:t>
      </w:r>
      <w:r>
        <w:rPr>
          <w:rFonts w:hint="default" w:ascii="Times New Roman" w:hAnsi="Times New Roman" w:cs="Times New Roman"/>
          <w:lang w:val="en-US" w:eastAsia="zh-CN"/>
        </w:rPr>
        <w:t>;</w:t>
      </w:r>
    </w:p>
    <w:p w14:paraId="008723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4</w:t>
      </w:r>
      <w:r>
        <w:rPr>
          <w:rFonts w:hint="default" w:ascii="Times New Roman" w:hAnsi="Times New Roman" w:cs="Times New Roman"/>
        </w:rPr>
        <w:t>）</w:t>
      </w:r>
      <w:r>
        <w:rPr>
          <w:rFonts w:hint="default" w:ascii="Times New Roman" w:hAnsi="Times New Roman" w:cs="Times New Roman"/>
          <w:lang w:val="en-US" w:eastAsia="zh-CN"/>
        </w:rPr>
        <w:t>各类辅材，机柜及UPS电池架由中选人负责提供;</w:t>
      </w:r>
    </w:p>
    <w:p w14:paraId="6199F8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（5）任何元件或装置，在本技术条件中没有专门提到，但它对于一个完整的和性能良好的机房系统又是必不可少的，这些元件或装置也应由中选人提供。</w:t>
      </w:r>
    </w:p>
    <w:p w14:paraId="6A0C3E5C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5.最高限价：</w:t>
      </w:r>
    </w:p>
    <w:p w14:paraId="2A9C6105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最高限价为人民币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950000.00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元（大写: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人民币玖拾伍万元整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），报价超过最高限价的，按无效响应处理。</w:t>
      </w:r>
    </w:p>
    <w:p w14:paraId="5F656A80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2.响应文件要求：</w:t>
      </w:r>
    </w:p>
    <w:p w14:paraId="148587FE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（1）电子版文件：格式为PDF和可编辑的word文档</w:t>
      </w:r>
      <w:r>
        <w:rPr>
          <w:rFonts w:hint="default" w:ascii="Times New Roman" w:hAnsi="Times New Roman" w:cs="Times New Roman"/>
          <w:lang w:val="en-US" w:eastAsia="zh-CN"/>
        </w:rPr>
        <w:t>各一份</w:t>
      </w:r>
      <w:r>
        <w:rPr>
          <w:rFonts w:hint="default" w:ascii="Times New Roman" w:hAnsi="Times New Roman" w:cs="Times New Roman"/>
        </w:rPr>
        <w:t>；</w:t>
      </w:r>
    </w:p>
    <w:p w14:paraId="50B39474"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</w:rPr>
        <w:t>（2）签字盖章要求：按响应文件格式要求</w:t>
      </w:r>
      <w:r>
        <w:rPr>
          <w:rFonts w:hint="default" w:ascii="Times New Roman" w:hAnsi="Times New Roman" w:cs="Times New Roman"/>
          <w:lang w:eastAsia="zh-CN"/>
        </w:rPr>
        <w:t>；</w:t>
      </w:r>
    </w:p>
    <w:p w14:paraId="14530BD2"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</w:rPr>
        <w:t>（3）响应有效期：自递交截止之日起</w:t>
      </w:r>
      <w:r>
        <w:rPr>
          <w:rFonts w:hint="default" w:ascii="Times New Roman" w:hAnsi="Times New Roman" w:cs="Times New Roman"/>
          <w:lang w:val="en-US" w:eastAsia="zh-CN"/>
        </w:rPr>
        <w:t>60</w:t>
      </w:r>
      <w:r>
        <w:rPr>
          <w:rFonts w:hint="default" w:ascii="Times New Roman" w:hAnsi="Times New Roman" w:cs="Times New Roman"/>
        </w:rPr>
        <w:t>天</w:t>
      </w:r>
      <w:r>
        <w:rPr>
          <w:rFonts w:hint="default" w:ascii="Times New Roman" w:hAnsi="Times New Roman" w:cs="Times New Roman"/>
          <w:lang w:eastAsia="zh-CN"/>
        </w:rPr>
        <w:t>；</w:t>
      </w:r>
    </w:p>
    <w:p w14:paraId="50F93D6C"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</w:rPr>
        <w:t>（4）本项目不收取保证金</w:t>
      </w:r>
      <w:r>
        <w:rPr>
          <w:rFonts w:hint="default" w:ascii="Times New Roman" w:hAnsi="Times New Roman" w:cs="Times New Roman"/>
          <w:lang w:eastAsia="zh-CN"/>
        </w:rPr>
        <w:t>；</w:t>
      </w:r>
    </w:p>
    <w:p w14:paraId="04B632AD"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</w:rPr>
        <w:t>（5）不接受联合体、不允许分包</w:t>
      </w:r>
      <w:r>
        <w:rPr>
          <w:rFonts w:hint="default" w:ascii="Times New Roman" w:hAnsi="Times New Roman" w:cs="Times New Roman"/>
          <w:lang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不允许转授权</w:t>
      </w:r>
      <w:r>
        <w:rPr>
          <w:rFonts w:hint="default" w:ascii="Times New Roman" w:hAnsi="Times New Roman" w:cs="Times New Roman"/>
          <w:lang w:eastAsia="zh-CN"/>
        </w:rPr>
        <w:t>；</w:t>
      </w:r>
    </w:p>
    <w:p w14:paraId="5CC2D38A"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</w:rPr>
        <w:t>（6）逾期送达的，直接拒收，按无效响应处理</w:t>
      </w:r>
      <w:r>
        <w:rPr>
          <w:rFonts w:hint="default" w:ascii="Times New Roman" w:hAnsi="Times New Roman" w:cs="Times New Roman"/>
          <w:lang w:eastAsia="zh-CN"/>
        </w:rPr>
        <w:t>；</w:t>
      </w:r>
    </w:p>
    <w:p w14:paraId="6D261520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3.联系人</w:t>
      </w:r>
    </w:p>
    <w:p w14:paraId="698F9E44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征集人：吉林省智慧水利科技有限公司</w:t>
      </w:r>
    </w:p>
    <w:p w14:paraId="45B7915C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地址：吉林省长春市南关区人民大街10606号东北亚金融中心6号楼</w:t>
      </w:r>
    </w:p>
    <w:p w14:paraId="2E505D86">
      <w:pPr>
        <w:ind w:firstLine="640"/>
        <w:rPr>
          <w:rFonts w:hint="default" w:ascii="Times New Roman" w:hAnsi="Times New Roman" w:eastAsia="仿宋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联系人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付宇懋</w:t>
      </w:r>
    </w:p>
    <w:p w14:paraId="5BBF6436">
      <w:pPr>
        <w:ind w:firstLine="64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联系电话：</w:t>
      </w:r>
      <w:r>
        <w:rPr>
          <w:rFonts w:hint="default" w:ascii="Times New Roman" w:hAnsi="Times New Roman" w:cs="Times New Roman"/>
          <w:lang w:val="en-US" w:eastAsia="zh-CN"/>
        </w:rPr>
        <w:t>0431-81912082</w:t>
      </w:r>
    </w:p>
    <w:p w14:paraId="5C20B51F">
      <w:pPr>
        <w:ind w:firstLine="2240" w:firstLineChars="700"/>
        <w:rPr>
          <w:rFonts w:hint="default" w:ascii="Times New Roman" w:hAnsi="Times New Roman" w:eastAsia="仿宋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16643571717</w:t>
      </w:r>
    </w:p>
    <w:p w14:paraId="2422E3F3">
      <w:pPr>
        <w:ind w:firstLine="640"/>
        <w:rPr>
          <w:rStyle w:val="21"/>
          <w:rFonts w:hint="default" w:ascii="Times New Roman" w:hAnsi="Times New Roman" w:cs="Times New Roman"/>
          <w:color w:val="auto"/>
          <w:u w:val="none"/>
        </w:rPr>
      </w:pPr>
      <w:r>
        <w:rPr>
          <w:rFonts w:hint="default" w:ascii="Times New Roman" w:hAnsi="Times New Roman" w:cs="Times New Roman"/>
        </w:rPr>
        <w:t>邮箱：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"mailto:19580131811@163.com"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Style w:val="21"/>
          <w:rFonts w:hint="default" w:ascii="Times New Roman" w:hAnsi="Times New Roman" w:cs="Times New Roman"/>
          <w:color w:val="auto"/>
          <w:u w:val="none"/>
        </w:rPr>
        <w:t>19580131811@163.com</w:t>
      </w:r>
      <w:r>
        <w:rPr>
          <w:rStyle w:val="21"/>
          <w:rFonts w:hint="default" w:ascii="Times New Roman" w:hAnsi="Times New Roman" w:cs="Times New Roman"/>
          <w:color w:val="auto"/>
          <w:u w:val="none"/>
        </w:rPr>
        <w:fldChar w:fldCharType="end"/>
      </w:r>
    </w:p>
    <w:p w14:paraId="30A196A7">
      <w:pPr>
        <w:pStyle w:val="3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三、</w:t>
      </w:r>
      <w:r>
        <w:rPr>
          <w:rFonts w:hint="default" w:ascii="Times New Roman" w:hAnsi="Times New Roman" w:cs="Times New Roman"/>
        </w:rPr>
        <w:t>评审规则及响应需提供材料</w:t>
      </w:r>
    </w:p>
    <w:p w14:paraId="54F6250F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1.评审方式：本项目采用综合打分法评审，评审小组按商务、技术、报价三大项进行打分，总分100分，得分最高者为中选候选人（得分相同的，报价较低者优先）。</w:t>
      </w:r>
    </w:p>
    <w:p w14:paraId="656497AE">
      <w:pPr>
        <w:numPr>
          <w:ilvl w:val="0"/>
          <w:numId w:val="0"/>
        </w:numPr>
        <w:bidi w:val="0"/>
        <w:ind w:firstLine="64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2.资格审查材料</w:t>
      </w:r>
    </w:p>
    <w:p w14:paraId="3F94F6C4">
      <w:pPr>
        <w:pStyle w:val="27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</w:rPr>
        <w:t>（1）有效的营业执照复印件（加盖供应商公章，经营范围包含本项目</w:t>
      </w:r>
      <w:r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  <w:t>主要</w:t>
      </w:r>
      <w:r>
        <w:rPr>
          <w:rFonts w:hint="default" w:ascii="Times New Roman" w:hAnsi="Times New Roman" w:eastAsia="仿宋" w:cs="Times New Roman"/>
          <w:b w:val="0"/>
          <w:color w:val="auto"/>
          <w:sz w:val="32"/>
        </w:rPr>
        <w:t>相关业务）；</w:t>
      </w:r>
    </w:p>
    <w:p w14:paraId="54E0E9B6">
      <w:pPr>
        <w:pStyle w:val="27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</w:rPr>
        <w:t>（2）法定代表人身份证明及身份证复印件（加盖公章）；</w:t>
      </w:r>
    </w:p>
    <w:p w14:paraId="43E3BD30">
      <w:pPr>
        <w:pStyle w:val="27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</w:rPr>
        <w:t>（3）法定代表人授权委托书及授权代表身份证复印件（若授权他人参与，加盖公章、签字齐全）；</w:t>
      </w:r>
    </w:p>
    <w:p w14:paraId="64E482DE">
      <w:pPr>
        <w:pStyle w:val="27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  <w:t>（4）无失信被执行人记录查询截图（截图需清晰，加盖公章，查询时间为响应递交前1个月内）；</w:t>
      </w:r>
    </w:p>
    <w:p w14:paraId="05509D52">
      <w:pPr>
        <w:pStyle w:val="27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  <w:t>（5）</w:t>
      </w:r>
      <w:r>
        <w:rPr>
          <w:rFonts w:hint="eastAsia" w:eastAsia="仿宋" w:cs="Times New Roman"/>
          <w:b w:val="0"/>
          <w:color w:val="auto"/>
          <w:sz w:val="32"/>
          <w:lang w:val="en-US" w:eastAsia="zh-CN"/>
        </w:rPr>
        <w:t>响应</w:t>
      </w:r>
      <w:r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  <w:t>函（按第五条格式填写，加盖公章、签字）；</w:t>
      </w:r>
    </w:p>
    <w:p w14:paraId="60954FA0">
      <w:pPr>
        <w:numPr>
          <w:ilvl w:val="0"/>
          <w:numId w:val="0"/>
        </w:numPr>
        <w:bidi w:val="0"/>
        <w:ind w:firstLine="64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3.评审打分标准</w:t>
      </w:r>
    </w:p>
    <w:p w14:paraId="69A0F991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总分100分，其中：</w:t>
      </w:r>
    </w:p>
    <w:p w14:paraId="0CE7BB58">
      <w:pPr>
        <w:pStyle w:val="2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bookmarkStart w:id="31" w:name="_GoBack"/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（1）报价部分（65分）：报价≤最高限价的</w:t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；</w:t>
      </w:r>
    </w:p>
    <w:p w14:paraId="54A08FF5">
      <w:pPr>
        <w:pStyle w:val="2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1）投标人投标报价等于评标基准价时，得分为满分65分。</w:t>
      </w:r>
    </w:p>
    <w:p w14:paraId="18D6B3A0">
      <w:pPr>
        <w:pStyle w:val="2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2）当投标报价高于评标基准价时，</w:t>
      </w:r>
    </w:p>
    <w:p w14:paraId="6F104D8A">
      <w:pPr>
        <w:pStyle w:val="2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报价得分＝65-2×［投标报价-评标基准价］÷评标基准价×100；</w:t>
      </w:r>
    </w:p>
    <w:p w14:paraId="40949BFD">
      <w:pPr>
        <w:pStyle w:val="2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3）当投标人报价低于评标基准价时，</w:t>
      </w:r>
    </w:p>
    <w:p w14:paraId="1BE4CA13">
      <w:pPr>
        <w:pStyle w:val="2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报价得分＝65-1×［评标基准价-投标报价］÷评标基准价×100；</w:t>
      </w:r>
    </w:p>
    <w:p w14:paraId="37014426">
      <w:pPr>
        <w:pStyle w:val="2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）评分分值计算保留小数点后两位，第三位四舍五入。报价超过最高限价的，得0分。</w:t>
      </w:r>
    </w:p>
    <w:p w14:paraId="57674B3B">
      <w:pPr>
        <w:pStyle w:val="2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）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402590</wp:posOffset>
            </wp:positionH>
            <wp:positionV relativeFrom="paragraph">
              <wp:posOffset>629920</wp:posOffset>
            </wp:positionV>
            <wp:extent cx="4817745" cy="2459355"/>
            <wp:effectExtent l="0" t="0" r="13335" b="952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1774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基准价计算方法如下：</w:t>
      </w:r>
    </w:p>
    <w:p w14:paraId="3F530AC5">
      <w:pPr>
        <w:pStyle w:val="2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）报价超过最高限价的，得0分。</w:t>
      </w:r>
    </w:p>
    <w:bookmarkEnd w:id="31"/>
    <w:p w14:paraId="0A29E19D"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bookmarkStart w:id="0" w:name="OLE_LINK1"/>
      <w:bookmarkStart w:id="1" w:name="OLE_LINK3"/>
      <w:r>
        <w:rPr>
          <w:rFonts w:hint="default" w:ascii="Times New Roman" w:hAnsi="Times New Roman" w:cs="Times New Roman"/>
        </w:rPr>
        <w:t>（2）技术方案</w:t>
      </w:r>
      <w:bookmarkEnd w:id="0"/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20</w:t>
      </w:r>
      <w:r>
        <w:rPr>
          <w:rFonts w:hint="default" w:ascii="Times New Roman" w:hAnsi="Times New Roman" w:cs="Times New Roman"/>
        </w:rPr>
        <w:t>分）：围绕响应人针对本项目核心技术人员投入、现场</w:t>
      </w:r>
      <w:r>
        <w:rPr>
          <w:rFonts w:hint="eastAsia" w:cs="Times New Roman"/>
          <w:lang w:val="en-US" w:eastAsia="zh-CN"/>
        </w:rPr>
        <w:t>配合</w:t>
      </w:r>
      <w:r>
        <w:rPr>
          <w:rFonts w:hint="default" w:ascii="Times New Roman" w:hAnsi="Times New Roman" w:cs="Times New Roman"/>
        </w:rPr>
        <w:t>安装方案、安全保障方案、应供货保障措施等内容进行综合评分；优秀得</w:t>
      </w:r>
      <w:r>
        <w:rPr>
          <w:rFonts w:hint="default" w:ascii="Times New Roman" w:hAnsi="Times New Roman" w:cs="Times New Roman"/>
          <w:lang w:val="en-US" w:eastAsia="zh-CN"/>
        </w:rPr>
        <w:t>20</w:t>
      </w:r>
      <w:r>
        <w:rPr>
          <w:rFonts w:hint="default" w:ascii="Times New Roman" w:hAnsi="Times New Roman" w:cs="Times New Roman"/>
        </w:rPr>
        <w:t>-</w:t>
      </w:r>
      <w:r>
        <w:rPr>
          <w:rFonts w:hint="default" w:ascii="Times New Roman" w:hAnsi="Times New Roman" w:cs="Times New Roman"/>
          <w:lang w:val="en-US" w:eastAsia="zh-CN"/>
        </w:rPr>
        <w:t>13</w:t>
      </w:r>
      <w:r>
        <w:rPr>
          <w:rFonts w:hint="default" w:ascii="Times New Roman" w:hAnsi="Times New Roman" w:cs="Times New Roman"/>
        </w:rPr>
        <w:t>分；良好得</w:t>
      </w:r>
      <w:r>
        <w:rPr>
          <w:rFonts w:hint="default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-</w:t>
      </w:r>
      <w:r>
        <w:rPr>
          <w:rFonts w:hint="default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分；一般得</w:t>
      </w:r>
      <w:r>
        <w:rPr>
          <w:rFonts w:hint="default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-1分；不提供不得分；</w:t>
      </w:r>
      <w:bookmarkEnd w:id="1"/>
    </w:p>
    <w:p w14:paraId="0C46C12D"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（3）商务部分（</w:t>
      </w:r>
      <w:r>
        <w:rPr>
          <w:rFonts w:hint="default" w:ascii="Times New Roman" w:hAnsi="Times New Roman" w:cs="Times New Roman"/>
          <w:lang w:val="en-US" w:eastAsia="zh-CN"/>
        </w:rPr>
        <w:t>10</w:t>
      </w:r>
      <w:r>
        <w:rPr>
          <w:rFonts w:hint="default" w:ascii="Times New Roman" w:hAnsi="Times New Roman" w:cs="Times New Roman"/>
        </w:rPr>
        <w:t>分）：类似项目业绩（</w:t>
      </w:r>
      <w:r>
        <w:rPr>
          <w:rFonts w:hint="eastAsia" w:cs="Times New Roman"/>
          <w:lang w:val="en-US" w:eastAsia="zh-CN"/>
        </w:rPr>
        <w:t>2021年1月1日至今</w:t>
      </w:r>
      <w:r>
        <w:rPr>
          <w:rFonts w:hint="default" w:ascii="Times New Roman" w:hAnsi="Times New Roman" w:cs="Times New Roman"/>
        </w:rPr>
        <w:t>每提供1份</w:t>
      </w:r>
      <w:r>
        <w:rPr>
          <w:rFonts w:hint="default" w:ascii="Times New Roman" w:hAnsi="Times New Roman" w:cs="Times New Roman"/>
          <w:lang w:val="en-US" w:eastAsia="zh-CN"/>
        </w:rPr>
        <w:t>包含服务器的</w:t>
      </w:r>
      <w:r>
        <w:rPr>
          <w:rFonts w:hint="default" w:ascii="Times New Roman" w:hAnsi="Times New Roman" w:cs="Times New Roman"/>
        </w:rPr>
        <w:t>同类项目</w:t>
      </w:r>
      <w:r>
        <w:rPr>
          <w:rFonts w:hint="default" w:ascii="Times New Roman" w:hAnsi="Times New Roman" w:cs="Times New Roman"/>
          <w:lang w:val="en-US" w:eastAsia="zh-CN"/>
        </w:rPr>
        <w:t>且合同总额超过50万元</w:t>
      </w:r>
      <w:r>
        <w:rPr>
          <w:rFonts w:hint="default" w:ascii="Times New Roman" w:hAnsi="Times New Roman" w:cs="Times New Roman"/>
        </w:rPr>
        <w:t>得</w:t>
      </w:r>
      <w:r>
        <w:rPr>
          <w:rFonts w:hint="default" w:ascii="Times New Roman" w:hAnsi="Times New Roman" w:cs="Times New Roman"/>
          <w:bCs/>
          <w:lang w:val="en-US" w:eastAsia="zh-CN"/>
        </w:rPr>
        <w:t>2</w:t>
      </w:r>
      <w:r>
        <w:rPr>
          <w:rFonts w:hint="default" w:ascii="Times New Roman" w:hAnsi="Times New Roman" w:cs="Times New Roman"/>
        </w:rPr>
        <w:t>分，最多</w:t>
      </w:r>
      <w:r>
        <w:rPr>
          <w:rFonts w:hint="default" w:ascii="Times New Roman" w:hAnsi="Times New Roman" w:cs="Times New Roman"/>
          <w:lang w:val="en-US" w:eastAsia="zh-CN"/>
        </w:rPr>
        <w:t>10</w:t>
      </w:r>
      <w:r>
        <w:rPr>
          <w:rFonts w:hint="default" w:ascii="Times New Roman" w:hAnsi="Times New Roman" w:cs="Times New Roman"/>
        </w:rPr>
        <w:t>分）；</w:t>
      </w:r>
    </w:p>
    <w:p w14:paraId="781A48D3"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（4）企业信誉（5分，</w:t>
      </w:r>
      <w:r>
        <w:rPr>
          <w:rFonts w:hint="default" w:ascii="Times New Roman" w:hAnsi="Times New Roman" w:cs="Times New Roman"/>
          <w:lang w:val="en-US" w:eastAsia="zh-CN"/>
        </w:rPr>
        <w:t>以下内容提供齐全</w:t>
      </w:r>
      <w:r>
        <w:rPr>
          <w:rFonts w:hint="default" w:ascii="Times New Roman" w:hAnsi="Times New Roman" w:cs="Times New Roman"/>
        </w:rPr>
        <w:t>得5分，</w:t>
      </w:r>
      <w:r>
        <w:rPr>
          <w:rFonts w:hint="default" w:ascii="Times New Roman" w:hAnsi="Times New Roman" w:cs="Times New Roman"/>
          <w:lang w:val="en-US" w:eastAsia="zh-CN"/>
        </w:rPr>
        <w:t>不齐全</w:t>
      </w:r>
      <w:r>
        <w:rPr>
          <w:rFonts w:hint="default" w:ascii="Times New Roman" w:hAnsi="Times New Roman" w:cs="Times New Roman"/>
        </w:rPr>
        <w:t>得0分）：</w:t>
      </w:r>
    </w:p>
    <w:p w14:paraId="42FF41E4"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1）</w:t>
      </w:r>
      <w:r>
        <w:rPr>
          <w:rFonts w:hint="default" w:ascii="Times New Roman" w:hAnsi="Times New Roman" w:cs="Times New Roman"/>
        </w:rPr>
        <w:t>提供近1个月内的信用中国网站（www.creditchina.gov.cn/）查询截图，须完整显示：未被人民法院列入失信被执行人名单，无重大税收违法失信主体、政府采购严重违法失信行为记录；</w:t>
      </w:r>
    </w:p>
    <w:p w14:paraId="12C28C40"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2）提供近1个月内的国家企业信用信息公示系统（https://www.gsxt.gov.cn/）查询截图，须完整显示：未被列入严重违法失信名单（黑名单）、无影响本项目履约的行政处罚记录。</w:t>
      </w:r>
    </w:p>
    <w:p w14:paraId="2EB51E2E"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4.无效响应、否决中选、重新询比情形</w:t>
      </w:r>
    </w:p>
    <w:p w14:paraId="183B11FA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1. 无效响应情形：</w:t>
      </w:r>
    </w:p>
    <w:p w14:paraId="7D174C97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（1）未按第二条要求递交响应文件（逾期、未密封、盖章不全等）；</w:t>
      </w:r>
    </w:p>
    <w:p w14:paraId="7147D6BE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（2）资格审查材料缺失、无效或不符合要求；</w:t>
      </w:r>
    </w:p>
    <w:p w14:paraId="357AF14F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（3）报价超过最高限价或未按要求填写报价；</w:t>
      </w:r>
    </w:p>
    <w:p w14:paraId="20D50D62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（4）响应文件内容虚假、弄虚作假；</w:t>
      </w:r>
    </w:p>
    <w:p w14:paraId="48A010A0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（5）未按要求承诺不联合体、不转包分包；</w:t>
      </w:r>
    </w:p>
    <w:p w14:paraId="4B022D6F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（6）响应文件缺项、漏项，未按格式填写。</w:t>
      </w:r>
    </w:p>
    <w:p w14:paraId="24B575FA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2. 否决中选情形：</w:t>
      </w:r>
    </w:p>
    <w:p w14:paraId="5124B861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（1）中选供应商未按要求签订合同；</w:t>
      </w:r>
    </w:p>
    <w:p w14:paraId="234893C2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（2）中选供应商存在弄虚作假、违约等行为；</w:t>
      </w:r>
    </w:p>
    <w:p w14:paraId="6CE613EF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（3）中选供应商资质失效、无法履行合同。</w:t>
      </w:r>
    </w:p>
    <w:p w14:paraId="7BD0D8B9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3. 重新询比情形：</w:t>
      </w:r>
    </w:p>
    <w:p w14:paraId="1BF26665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（1）有效响应供应商不足3家；</w:t>
      </w:r>
    </w:p>
    <w:p w14:paraId="1F39964A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（2）所有响应供应商均不符合采购要求；</w:t>
      </w:r>
    </w:p>
    <w:p w14:paraId="6C03324D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（3）中选供应商被否决后，无其他合格候选人；</w:t>
      </w:r>
    </w:p>
    <w:p w14:paraId="164112DE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（4）采购需求发生重大变更。</w:t>
      </w:r>
    </w:p>
    <w:p w14:paraId="11A1DE6D">
      <w:pPr>
        <w:pStyle w:val="3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四、</w:t>
      </w:r>
      <w:r>
        <w:rPr>
          <w:rFonts w:hint="default" w:ascii="Times New Roman" w:hAnsi="Times New Roman" w:cs="Times New Roman"/>
        </w:rPr>
        <w:t>中选及合同约定</w:t>
      </w:r>
    </w:p>
    <w:p w14:paraId="5066144F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1.中选公示、中选通知书发放</w:t>
      </w:r>
    </w:p>
    <w:p w14:paraId="54C3F79F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（1）中选公示：评审结束后，采购单位将中选候选人名单在本单位官网（或指定平台）公示，公示期为1日；</w:t>
      </w:r>
    </w:p>
    <w:p w14:paraId="34F27789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中选通知书发放：公示无异议后，3个工作日内，采购单位向中选供应商发放中选通知书，中选通知书具有法律效力。</w:t>
      </w:r>
    </w:p>
    <w:p w14:paraId="691FDA25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2.合同签订时限、履约要求</w:t>
      </w:r>
    </w:p>
    <w:p w14:paraId="2851BA7A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（1）合同签订时限：中选供应商收到中选通知书后</w:t>
      </w:r>
      <w:r>
        <w:rPr>
          <w:rFonts w:hint="default" w:ascii="Times New Roman" w:hAnsi="Times New Roman" w:cs="Times New Roman"/>
          <w:lang w:val="en-US" w:eastAsia="zh-CN"/>
        </w:rPr>
        <w:t>30日</w:t>
      </w:r>
      <w:r>
        <w:rPr>
          <w:rFonts w:hint="default" w:ascii="Times New Roman" w:hAnsi="Times New Roman" w:cs="Times New Roman"/>
        </w:rPr>
        <w:t>内，与采购单位签订采购合同，逾期未签订的，视为放弃中选资格；</w:t>
      </w:r>
    </w:p>
    <w:p w14:paraId="25A01565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（2）履约要求：按采购文件要求、响应文件承诺及合同约定，按时、按质、按量完成供货/服务，不得擅自变更履约内容、降低质量标准。</w:t>
      </w:r>
    </w:p>
    <w:p w14:paraId="2AB6297B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3.付款方式、质保及售后服务要求</w:t>
      </w:r>
    </w:p>
    <w:p w14:paraId="4F2504AD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（1）付款方式：</w:t>
      </w:r>
      <w:r>
        <w:rPr>
          <w:rFonts w:hint="eastAsia" w:cs="Times New Roman"/>
          <w:lang w:val="en-US" w:eastAsia="zh-CN"/>
        </w:rPr>
        <w:t>全部</w:t>
      </w:r>
      <w:r>
        <w:rPr>
          <w:rFonts w:hint="default" w:ascii="Times New Roman" w:hAnsi="Times New Roman" w:cs="Times New Roman"/>
        </w:rPr>
        <w:t>货物</w:t>
      </w:r>
      <w:r>
        <w:rPr>
          <w:rFonts w:hint="eastAsia" w:cs="Times New Roman"/>
          <w:lang w:val="en-US" w:eastAsia="zh-CN"/>
        </w:rPr>
        <w:t>到场且经过采购人进场</w:t>
      </w:r>
      <w:r>
        <w:rPr>
          <w:rFonts w:hint="default" w:ascii="Times New Roman" w:hAnsi="Times New Roman" w:cs="Times New Roman"/>
        </w:rPr>
        <w:t>验收合格后支付合同总金额的</w:t>
      </w:r>
      <w:r>
        <w:rPr>
          <w:rFonts w:hint="eastAsia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  <w:lang w:val="en-US" w:eastAsia="zh-CN"/>
        </w:rPr>
        <w:t>0</w:t>
      </w:r>
      <w:r>
        <w:rPr>
          <w:rFonts w:hint="default" w:ascii="Times New Roman" w:hAnsi="Times New Roman" w:cs="Times New Roman"/>
        </w:rPr>
        <w:t>%，</w:t>
      </w:r>
      <w:r>
        <w:rPr>
          <w:rFonts w:hint="eastAsia" w:cs="Times New Roman"/>
          <w:lang w:val="en-US" w:eastAsia="zh-CN"/>
        </w:rPr>
        <w:t>现场配合</w:t>
      </w:r>
      <w:r>
        <w:rPr>
          <w:rFonts w:hint="default" w:ascii="Times New Roman" w:hAnsi="Times New Roman" w:cs="Times New Roman"/>
          <w:lang w:val="en-US" w:eastAsia="zh-CN"/>
        </w:rPr>
        <w:t>安装</w:t>
      </w:r>
      <w:r>
        <w:rPr>
          <w:rFonts w:hint="eastAsia" w:cs="Times New Roman"/>
          <w:lang w:val="en-US" w:eastAsia="zh-CN"/>
        </w:rPr>
        <w:t>及</w:t>
      </w:r>
      <w:r>
        <w:rPr>
          <w:rFonts w:hint="default" w:ascii="Times New Roman" w:hAnsi="Times New Roman" w:cs="Times New Roman"/>
          <w:lang w:val="en-US" w:eastAsia="zh-CN"/>
        </w:rPr>
        <w:t>调试完成</w:t>
      </w:r>
      <w:r>
        <w:rPr>
          <w:rFonts w:hint="eastAsia" w:cs="Times New Roman"/>
          <w:lang w:val="en-US" w:eastAsia="zh-CN"/>
        </w:rPr>
        <w:t>，</w:t>
      </w:r>
      <w:r>
        <w:rPr>
          <w:rFonts w:hint="default" w:ascii="Times New Roman" w:hAnsi="Times New Roman" w:cs="Times New Roman"/>
          <w:lang w:val="en-US" w:eastAsia="zh-CN"/>
        </w:rPr>
        <w:t>整体项目验收合格后支付合同总金额的27%，</w:t>
      </w:r>
      <w:r>
        <w:rPr>
          <w:rFonts w:hint="default" w:ascii="Times New Roman" w:hAnsi="Times New Roman" w:cs="Times New Roman"/>
        </w:rPr>
        <w:t>剩余</w:t>
      </w:r>
      <w:r>
        <w:rPr>
          <w:rFonts w:hint="default" w:ascii="Times New Roman" w:hAnsi="Times New Roman" w:cs="Times New Roman"/>
          <w:lang w:val="en-US" w:eastAsia="zh-CN"/>
        </w:rPr>
        <w:t>3</w:t>
      </w:r>
      <w:r>
        <w:rPr>
          <w:rFonts w:hint="default" w:ascii="Times New Roman" w:hAnsi="Times New Roman" w:cs="Times New Roman"/>
        </w:rPr>
        <w:t>%作为质保金，质保期满无质量问题后无息支付；</w:t>
      </w:r>
    </w:p>
    <w:p w14:paraId="6F24E61B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（2）质保要求：质保期为1年（自验收合格之日起计算），质保期内出现质量问题，供应商需免费维修、更换；</w:t>
      </w:r>
    </w:p>
    <w:p w14:paraId="5110AECB">
      <w:pPr>
        <w:ind w:firstLine="64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（3）售后服务要求：按第二条约定的响应时限、服务标准执行，提供</w:t>
      </w:r>
      <w:r>
        <w:rPr>
          <w:rFonts w:hint="default" w:ascii="Times New Roman" w:hAnsi="Times New Roman" w:cs="Times New Roman"/>
          <w:lang w:val="en-US" w:eastAsia="zh-CN"/>
        </w:rPr>
        <w:t>包含但不限于</w:t>
      </w:r>
      <w:r>
        <w:rPr>
          <w:rFonts w:hint="default" w:ascii="Times New Roman" w:hAnsi="Times New Roman" w:cs="Times New Roman"/>
        </w:rPr>
        <w:t>免费现场安装调试以及技术咨询、培训服务。</w:t>
      </w:r>
    </w:p>
    <w:p w14:paraId="7E4A960A">
      <w:pPr>
        <w:pStyle w:val="3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五、</w:t>
      </w:r>
      <w:r>
        <w:rPr>
          <w:rFonts w:hint="default" w:ascii="Times New Roman" w:hAnsi="Times New Roman" w:cs="Times New Roman"/>
        </w:rPr>
        <w:t>响应文件格式</w:t>
      </w:r>
    </w:p>
    <w:p w14:paraId="29332601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7DD14FB6">
      <w:pPr>
        <w:pStyle w:val="13"/>
        <w:ind w:firstLine="0" w:firstLineChars="0"/>
        <w:rPr>
          <w:rFonts w:hint="default" w:ascii="Times New Roman" w:hAnsi="Times New Roman" w:cs="Times New Roman"/>
          <w:b/>
          <w:color w:val="auto"/>
          <w:sz w:val="20"/>
          <w:highlight w:val="none"/>
        </w:rPr>
      </w:pPr>
    </w:p>
    <w:p w14:paraId="2C98F5B5">
      <w:pPr>
        <w:tabs>
          <w:tab w:val="left" w:pos="1118"/>
        </w:tabs>
        <w:spacing w:before="70"/>
        <w:ind w:right="296" w:firstLine="0" w:firstLineChars="0"/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sectPr>
          <w:pgSz w:w="12240" w:h="15840"/>
          <w:pgMar w:top="1440" w:right="1803" w:bottom="1440" w:left="1803" w:header="850" w:footer="992" w:gutter="0"/>
          <w:pgNumType w:fmt="numberInDash"/>
          <w:cols w:space="720" w:num="1"/>
        </w:sectPr>
      </w:pPr>
    </w:p>
    <w:p w14:paraId="61EC066E">
      <w:pPr>
        <w:tabs>
          <w:tab w:val="left" w:pos="1118"/>
        </w:tabs>
        <w:spacing w:before="70"/>
        <w:ind w:right="296" w:firstLine="0" w:firstLineChars="0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</w:t>
      </w:r>
      <w:r>
        <w:rPr>
          <w:rFonts w:hint="default" w:ascii="Times New Roman" w:hAnsi="Times New Roman" w:eastAsia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                         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（项目</w:t>
      </w:r>
      <w:r>
        <w:rPr>
          <w:rFonts w:hint="default" w:ascii="Times New Roman" w:hAnsi="Times New Roman" w:cs="Times New Roman"/>
          <w:color w:val="auto"/>
          <w:spacing w:val="-1"/>
          <w:sz w:val="28"/>
          <w:highlight w:val="none"/>
        </w:rPr>
        <w:t>名称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）</w:t>
      </w:r>
    </w:p>
    <w:p w14:paraId="36BF99FB">
      <w:pPr>
        <w:pStyle w:val="13"/>
        <w:ind w:firstLine="0" w:firstLineChars="0"/>
        <w:rPr>
          <w:rFonts w:hint="default" w:ascii="Times New Roman" w:hAnsi="Times New Roman" w:cs="Times New Roman"/>
          <w:color w:val="auto"/>
          <w:sz w:val="20"/>
          <w:highlight w:val="none"/>
        </w:rPr>
      </w:pPr>
    </w:p>
    <w:p w14:paraId="6F82FADD">
      <w:pPr>
        <w:tabs>
          <w:tab w:val="left" w:pos="1118"/>
        </w:tabs>
        <w:spacing w:before="70"/>
        <w:ind w:right="296" w:firstLine="0" w:firstLineChars="0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</w:t>
      </w:r>
      <w:r>
        <w:rPr>
          <w:rFonts w:hint="default" w:ascii="Times New Roman" w:hAnsi="Times New Roman" w:eastAsia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                         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z w:val="28"/>
          <w:highlight w:val="none"/>
          <w:lang w:val="en-US" w:eastAsia="zh-CN"/>
        </w:rPr>
        <w:t>项目编码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）</w:t>
      </w:r>
    </w:p>
    <w:p w14:paraId="0EDED178">
      <w:pPr>
        <w:spacing w:before="209"/>
        <w:ind w:right="295" w:firstLine="0" w:firstLineChars="0"/>
        <w:jc w:val="center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 w14:paraId="1516B2B3">
      <w:pPr>
        <w:spacing w:before="209"/>
        <w:ind w:right="295" w:firstLine="0" w:firstLineChars="0"/>
        <w:jc w:val="center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 w14:paraId="22D24928">
      <w:pPr>
        <w:ind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响 应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 xml:space="preserve"> 文 件</w:t>
      </w:r>
    </w:p>
    <w:p w14:paraId="784D4BFC">
      <w:pPr>
        <w:pStyle w:val="13"/>
        <w:ind w:firstLine="0" w:firstLineChars="0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 w14:paraId="7D9308FA">
      <w:pPr>
        <w:pStyle w:val="13"/>
        <w:ind w:firstLine="0" w:firstLineChars="0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 w14:paraId="0CCC5729">
      <w:pPr>
        <w:pStyle w:val="13"/>
        <w:ind w:firstLine="0" w:firstLineChars="0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 w14:paraId="16386895">
      <w:pPr>
        <w:pStyle w:val="13"/>
        <w:ind w:firstLine="0" w:firstLineChars="0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 w14:paraId="0D10E7CF">
      <w:pPr>
        <w:pStyle w:val="13"/>
        <w:spacing w:before="3"/>
        <w:ind w:firstLine="0" w:firstLineChars="0"/>
        <w:rPr>
          <w:rFonts w:hint="default" w:ascii="Times New Roman" w:hAnsi="Times New Roman" w:cs="Times New Roman"/>
          <w:color w:val="auto"/>
          <w:sz w:val="52"/>
          <w:highlight w:val="none"/>
        </w:rPr>
      </w:pPr>
    </w:p>
    <w:p w14:paraId="5C99B535">
      <w:pPr>
        <w:tabs>
          <w:tab w:val="left" w:pos="7262"/>
          <w:tab w:val="left" w:pos="7855"/>
        </w:tabs>
        <w:spacing w:line="364" w:lineRule="auto"/>
        <w:ind w:left="1521" w:right="761" w:firstLine="0" w:firstLineChars="0"/>
        <w:jc w:val="left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人：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                    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（盖</w:t>
      </w:r>
      <w:r>
        <w:rPr>
          <w:rFonts w:hint="default" w:ascii="Times New Roman" w:hAnsi="Times New Roman" w:cs="Times New Roman"/>
          <w:color w:val="auto"/>
          <w:spacing w:val="-3"/>
          <w:sz w:val="28"/>
          <w:highlight w:val="none"/>
        </w:rPr>
        <w:t>单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位</w:t>
      </w:r>
      <w:r>
        <w:rPr>
          <w:rFonts w:hint="default" w:ascii="Times New Roman" w:hAnsi="Times New Roman" w:cs="Times New Roman"/>
          <w:color w:val="auto"/>
          <w:spacing w:val="-3"/>
          <w:sz w:val="28"/>
          <w:highlight w:val="none"/>
        </w:rPr>
        <w:t>章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 xml:space="preserve">） </w:t>
      </w:r>
    </w:p>
    <w:p w14:paraId="0FC99743">
      <w:pPr>
        <w:spacing w:line="364" w:lineRule="auto"/>
        <w:ind w:left="1521" w:right="-6" w:rightChars="0" w:firstLine="0" w:firstLineChars="0"/>
        <w:jc w:val="left"/>
        <w:rPr>
          <w:rFonts w:hint="default" w:ascii="Times New Roman" w:hAnsi="Times New Roman" w:cs="Times New Roman"/>
          <w:color w:val="FF0000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</w:rPr>
        <w:t>法定代</w:t>
      </w:r>
      <w:r>
        <w:rPr>
          <w:rFonts w:hint="default" w:ascii="Times New Roman" w:hAnsi="Times New Roman" w:cs="Times New Roman"/>
          <w:color w:val="auto"/>
          <w:spacing w:val="-3"/>
          <w:sz w:val="28"/>
          <w:highlight w:val="none"/>
        </w:rPr>
        <w:t>表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人或其</w:t>
      </w:r>
      <w:r>
        <w:rPr>
          <w:rFonts w:hint="default" w:ascii="Times New Roman" w:hAnsi="Times New Roman" w:cs="Times New Roman"/>
          <w:color w:val="auto"/>
          <w:spacing w:val="-3"/>
          <w:sz w:val="28"/>
          <w:highlight w:val="none"/>
        </w:rPr>
        <w:t>委托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代理人：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    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none"/>
        </w:rPr>
        <w:t>（签字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none"/>
          <w:lang w:val="en-US" w:eastAsia="zh-CN"/>
        </w:rPr>
        <w:t>或盖章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none"/>
        </w:rPr>
        <w:t>）</w:t>
      </w:r>
    </w:p>
    <w:p w14:paraId="261E1E6D">
      <w:pPr>
        <w:pStyle w:val="13"/>
        <w:spacing w:before="5"/>
        <w:ind w:firstLine="0" w:firstLineChars="0"/>
        <w:rPr>
          <w:rFonts w:hint="default" w:ascii="Times New Roman" w:hAnsi="Times New Roman" w:cs="Times New Roman"/>
          <w:color w:val="auto"/>
          <w:sz w:val="23"/>
          <w:highlight w:val="none"/>
        </w:rPr>
      </w:pPr>
    </w:p>
    <w:p w14:paraId="3464E56D">
      <w:pPr>
        <w:tabs>
          <w:tab w:val="left" w:pos="734"/>
          <w:tab w:val="left" w:pos="1749"/>
          <w:tab w:val="left" w:pos="2765"/>
        </w:tabs>
        <w:spacing w:before="62"/>
        <w:ind w:right="299" w:firstLine="0" w:firstLineChars="0"/>
        <w:jc w:val="center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年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月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日</w:t>
      </w:r>
    </w:p>
    <w:p w14:paraId="1DC26649">
      <w:pPr>
        <w:ind w:firstLine="0" w:firstLineChars="0"/>
        <w:jc w:val="center"/>
        <w:rPr>
          <w:rFonts w:hint="default" w:ascii="Times New Roman" w:hAnsi="Times New Roman" w:cs="Times New Roman"/>
          <w:color w:val="auto"/>
          <w:sz w:val="28"/>
          <w:highlight w:val="none"/>
        </w:rPr>
        <w:sectPr>
          <w:pgSz w:w="12240" w:h="15840"/>
          <w:pgMar w:top="1440" w:right="1803" w:bottom="1440" w:left="1803" w:header="850" w:footer="992" w:gutter="0"/>
          <w:pgNumType w:fmt="numberInDash"/>
          <w:cols w:space="720" w:num="1"/>
        </w:sectPr>
      </w:pPr>
    </w:p>
    <w:p w14:paraId="71A93848">
      <w:pPr>
        <w:pStyle w:val="3"/>
        <w:jc w:val="center"/>
        <w:rPr>
          <w:rFonts w:hint="default" w:ascii="Times New Roman" w:hAnsi="Times New Roman" w:cs="Times New Roman"/>
          <w:color w:val="auto"/>
          <w:highlight w:val="none"/>
        </w:rPr>
      </w:pPr>
      <w:bookmarkStart w:id="2" w:name="_Toc32049"/>
      <w:bookmarkStart w:id="3" w:name="_Toc8351"/>
      <w:bookmarkStart w:id="4" w:name="_Toc28432"/>
      <w:bookmarkStart w:id="5" w:name="_Toc3145"/>
      <w:bookmarkStart w:id="6" w:name="_Toc17031"/>
      <w:r>
        <w:rPr>
          <w:rFonts w:hint="default" w:ascii="Times New Roman" w:hAnsi="Times New Roman" w:cs="Times New Roman"/>
          <w:color w:val="auto"/>
          <w:highlight w:val="none"/>
        </w:rPr>
        <w:t>目  录</w:t>
      </w:r>
      <w:bookmarkEnd w:id="2"/>
      <w:bookmarkEnd w:id="3"/>
      <w:bookmarkEnd w:id="4"/>
      <w:bookmarkEnd w:id="5"/>
      <w:bookmarkEnd w:id="6"/>
    </w:p>
    <w:p w14:paraId="03E10D9C">
      <w:pPr>
        <w:pStyle w:val="13"/>
        <w:spacing w:before="1"/>
        <w:ind w:firstLine="0" w:firstLineChars="0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283DC3CA">
      <w:pPr>
        <w:pStyle w:val="25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bookmarkStart w:id="7" w:name="_Toc28754"/>
      <w:bookmarkStart w:id="8" w:name="_Toc18602"/>
      <w:bookmarkStart w:id="9" w:name="_Toc13957"/>
      <w:bookmarkStart w:id="10" w:name="_Toc27426"/>
      <w:r>
        <w:rPr>
          <w:rFonts w:hint="default" w:ascii="Times New Roman" w:hAnsi="Times New Roman" w:cs="Times New Roman"/>
          <w:spacing w:val="-3"/>
          <w:szCs w:val="24"/>
        </w:rPr>
        <w:t>一、响应函</w:t>
      </w:r>
    </w:p>
    <w:p w14:paraId="648CF4CC">
      <w:pPr>
        <w:pStyle w:val="25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 xml:space="preserve">二、法定代表人身份证明 </w:t>
      </w:r>
    </w:p>
    <w:p w14:paraId="0E981CD7">
      <w:pPr>
        <w:pStyle w:val="25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>三、授权委托书（适用于有委托代理人的情况）</w:t>
      </w:r>
    </w:p>
    <w:p w14:paraId="7C9718B4">
      <w:pPr>
        <w:pStyle w:val="25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>四、资格审查资料</w:t>
      </w:r>
    </w:p>
    <w:p w14:paraId="2C2A464C">
      <w:pPr>
        <w:pStyle w:val="25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>五、相关业绩</w:t>
      </w:r>
    </w:p>
    <w:p w14:paraId="6CD7AC6C">
      <w:pPr>
        <w:pStyle w:val="25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>六、技术方案</w:t>
      </w:r>
    </w:p>
    <w:p w14:paraId="059DCFDB">
      <w:pPr>
        <w:pStyle w:val="25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  <w:sectPr>
          <w:pgSz w:w="12240" w:h="15840"/>
          <w:pgMar w:top="1400" w:right="1100" w:bottom="1120" w:left="1400" w:header="850" w:footer="992" w:gutter="0"/>
          <w:pgNumType w:fmt="numberInDash"/>
          <w:cols w:space="720" w:num="1"/>
        </w:sectPr>
      </w:pPr>
      <w:r>
        <w:rPr>
          <w:rFonts w:hint="default" w:ascii="Times New Roman" w:hAnsi="Times New Roman" w:cs="Times New Roman"/>
          <w:spacing w:val="-3"/>
          <w:szCs w:val="24"/>
        </w:rPr>
        <w:t>七、报价表</w:t>
      </w:r>
    </w:p>
    <w:p w14:paraId="123BC5D3">
      <w:pPr>
        <w:pStyle w:val="3"/>
        <w:numPr>
          <w:ilvl w:val="0"/>
          <w:numId w:val="2"/>
        </w:numPr>
        <w:ind w:firstLineChars="0"/>
        <w:jc w:val="center"/>
        <w:rPr>
          <w:rFonts w:hint="default" w:ascii="Times New Roman" w:hAnsi="Times New Roman" w:cs="Times New Roman"/>
        </w:rPr>
      </w:pPr>
      <w:bookmarkStart w:id="11" w:name="_Toc30775"/>
      <w:bookmarkStart w:id="12" w:name="_Toc5494"/>
      <w:bookmarkStart w:id="13" w:name="_Toc27319"/>
      <w:bookmarkStart w:id="14" w:name="_Toc2547"/>
      <w:r>
        <w:rPr>
          <w:rFonts w:hint="default" w:ascii="Times New Roman" w:hAnsi="Times New Roman" w:cs="Times New Roman"/>
        </w:rPr>
        <w:t>响应函</w:t>
      </w:r>
      <w:bookmarkEnd w:id="11"/>
      <w:bookmarkEnd w:id="12"/>
      <w:bookmarkEnd w:id="13"/>
      <w:bookmarkEnd w:id="14"/>
    </w:p>
    <w:p w14:paraId="1A20EB26">
      <w:pPr>
        <w:pStyle w:val="13"/>
        <w:tabs>
          <w:tab w:val="left" w:pos="2291"/>
        </w:tabs>
        <w:spacing w:after="0" w:line="240" w:lineRule="auto"/>
        <w:ind w:firstLine="0" w:firstLineChars="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吉林省智慧水利科技有限公司</w:t>
      </w:r>
    </w:p>
    <w:p w14:paraId="7BE9CCD2">
      <w:pPr>
        <w:pStyle w:val="25"/>
        <w:tabs>
          <w:tab w:val="left" w:pos="1139"/>
          <w:tab w:val="left" w:pos="2712"/>
          <w:tab w:val="left" w:pos="4658"/>
          <w:tab w:val="left" w:pos="5157"/>
          <w:tab w:val="left" w:pos="6554"/>
        </w:tabs>
        <w:ind w:firstLine="48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我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方</w:t>
      </w:r>
      <w:r>
        <w:rPr>
          <w:rFonts w:hint="default" w:ascii="Times New Roman" w:hAnsi="Times New Roman" w:cs="Times New Roman"/>
          <w:sz w:val="30"/>
          <w:szCs w:val="30"/>
        </w:rPr>
        <w:t>已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仔</w:t>
      </w:r>
      <w:r>
        <w:rPr>
          <w:rFonts w:hint="default" w:ascii="Times New Roman" w:hAnsi="Times New Roman" w:cs="Times New Roman"/>
          <w:sz w:val="30"/>
          <w:szCs w:val="30"/>
        </w:rPr>
        <w:t>细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研</w:t>
      </w:r>
      <w:r>
        <w:rPr>
          <w:rFonts w:hint="default" w:ascii="Times New Roman" w:hAnsi="Times New Roman" w:cs="Times New Roman"/>
          <w:sz w:val="30"/>
          <w:szCs w:val="30"/>
        </w:rPr>
        <w:t>究了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（标段</w:t>
      </w:r>
      <w:r>
        <w:rPr>
          <w:rFonts w:hint="default" w:ascii="Times New Roman" w:hAnsi="Times New Roman" w:cs="Times New Roman"/>
          <w:sz w:val="30"/>
          <w:szCs w:val="30"/>
        </w:rPr>
        <w:t>项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目名</w:t>
      </w:r>
      <w:r>
        <w:rPr>
          <w:rFonts w:hint="default" w:ascii="Times New Roman" w:hAnsi="Times New Roman" w:cs="Times New Roman"/>
          <w:sz w:val="30"/>
          <w:szCs w:val="30"/>
        </w:rPr>
        <w:t>称</w:t>
      </w:r>
      <w:r>
        <w:rPr>
          <w:rFonts w:hint="default" w:ascii="Times New Roman" w:hAnsi="Times New Roman" w:cs="Times New Roman"/>
          <w:spacing w:val="-27"/>
          <w:sz w:val="30"/>
          <w:szCs w:val="30"/>
        </w:rPr>
        <w:t>）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询比</w:t>
      </w:r>
      <w:r>
        <w:rPr>
          <w:rFonts w:hint="default" w:ascii="Times New Roman" w:hAnsi="Times New Roman" w:cs="Times New Roman"/>
          <w:sz w:val="30"/>
          <w:szCs w:val="30"/>
        </w:rPr>
        <w:t>文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件</w:t>
      </w:r>
      <w:r>
        <w:rPr>
          <w:rFonts w:hint="default" w:ascii="Times New Roman" w:hAnsi="Times New Roman" w:cs="Times New Roman"/>
          <w:sz w:val="30"/>
          <w:szCs w:val="30"/>
        </w:rPr>
        <w:t>的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全</w:t>
      </w:r>
      <w:r>
        <w:rPr>
          <w:rFonts w:hint="default" w:ascii="Times New Roman" w:hAnsi="Times New Roman" w:cs="Times New Roman"/>
          <w:sz w:val="30"/>
          <w:szCs w:val="30"/>
        </w:rPr>
        <w:t>部内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容</w:t>
      </w:r>
      <w:r>
        <w:rPr>
          <w:rFonts w:hint="default" w:ascii="Times New Roman" w:hAnsi="Times New Roman" w:cs="Times New Roman"/>
          <w:spacing w:val="-10"/>
          <w:sz w:val="30"/>
          <w:szCs w:val="30"/>
        </w:rPr>
        <w:t>，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愿</w:t>
      </w:r>
      <w:r>
        <w:rPr>
          <w:rFonts w:hint="default" w:ascii="Times New Roman" w:hAnsi="Times New Roman" w:cs="Times New Roman"/>
          <w:sz w:val="30"/>
          <w:szCs w:val="30"/>
        </w:rPr>
        <w:t>意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参与本项目询比，</w:t>
      </w:r>
      <w:r>
        <w:rPr>
          <w:rFonts w:hint="default" w:ascii="Times New Roman" w:hAnsi="Times New Roman" w:cs="Times New Roman"/>
          <w:spacing w:val="-11"/>
          <w:sz w:val="30"/>
          <w:szCs w:val="30"/>
        </w:rPr>
        <w:t>并</w:t>
      </w:r>
      <w:r>
        <w:rPr>
          <w:rFonts w:hint="default" w:ascii="Times New Roman" w:hAnsi="Times New Roman" w:cs="Times New Roman"/>
          <w:sz w:val="30"/>
          <w:szCs w:val="30"/>
        </w:rPr>
        <w:t>按合同约定履行义务，质量标准达到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                   </w:t>
      </w:r>
      <w:r>
        <w:rPr>
          <w:rFonts w:hint="default" w:ascii="Times New Roman" w:hAnsi="Times New Roman" w:cs="Times New Roman"/>
          <w:sz w:val="30"/>
          <w:szCs w:val="30"/>
        </w:rPr>
        <w:t xml:space="preserve"> 。</w:t>
      </w:r>
    </w:p>
    <w:p w14:paraId="53638116">
      <w:pPr>
        <w:pStyle w:val="25"/>
        <w:tabs>
          <w:tab w:val="left" w:pos="1085"/>
        </w:tabs>
        <w:ind w:firstLine="46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我方的响应文件包括下列内容：</w:t>
      </w:r>
    </w:p>
    <w:p w14:paraId="2B5BF8F1">
      <w:pPr>
        <w:pStyle w:val="25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一、响应函</w:t>
      </w:r>
    </w:p>
    <w:p w14:paraId="026A0820">
      <w:pPr>
        <w:pStyle w:val="25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 xml:space="preserve">二、法定代表人身份证明 </w:t>
      </w:r>
    </w:p>
    <w:p w14:paraId="38C66D8C">
      <w:pPr>
        <w:pStyle w:val="25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三、授权委托书（适用于有委托代理人的情况）</w:t>
      </w:r>
    </w:p>
    <w:p w14:paraId="2F655700">
      <w:pPr>
        <w:pStyle w:val="25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四、资格审查资料</w:t>
      </w:r>
    </w:p>
    <w:p w14:paraId="441CF8D8">
      <w:pPr>
        <w:pStyle w:val="25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五、相关业绩</w:t>
      </w:r>
    </w:p>
    <w:p w14:paraId="26834718">
      <w:pPr>
        <w:pStyle w:val="25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六、技术方案</w:t>
      </w:r>
    </w:p>
    <w:p w14:paraId="154B2848">
      <w:pPr>
        <w:pStyle w:val="25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七、报价表</w:t>
      </w:r>
    </w:p>
    <w:p w14:paraId="3808C970">
      <w:pPr>
        <w:pStyle w:val="13"/>
        <w:spacing w:after="0" w:line="240" w:lineRule="auto"/>
        <w:ind w:firstLine="48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响应文件的上述组成部分如存在内容不一致的，以响应函为准。</w:t>
      </w:r>
    </w:p>
    <w:p w14:paraId="4424AC8C">
      <w:pPr>
        <w:pStyle w:val="25"/>
        <w:tabs>
          <w:tab w:val="left" w:pos="1139"/>
        </w:tabs>
        <w:ind w:firstLine="46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我方承诺，我方响应询比文件的全部要求。</w:t>
      </w:r>
    </w:p>
    <w:p w14:paraId="4DFC4F0D">
      <w:pPr>
        <w:pStyle w:val="25"/>
        <w:tabs>
          <w:tab w:val="left" w:pos="1139"/>
        </w:tabs>
        <w:ind w:firstLine="46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我方承诺在询比文件规定的响应有效期内不撤销响应文件。</w:t>
      </w:r>
    </w:p>
    <w:p w14:paraId="6371778B">
      <w:pPr>
        <w:pStyle w:val="25"/>
        <w:tabs>
          <w:tab w:val="left" w:pos="1139"/>
        </w:tabs>
        <w:ind w:firstLine="46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如我方中选，我方承诺：</w:t>
      </w:r>
    </w:p>
    <w:p w14:paraId="1303F6D3">
      <w:pPr>
        <w:pStyle w:val="25"/>
        <w:tabs>
          <w:tab w:val="left" w:pos="1335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（1）在收到中选通知书后，在中选通知书规定的期限内与你方签订合同；</w:t>
      </w:r>
    </w:p>
    <w:p w14:paraId="1A20C2A3">
      <w:pPr>
        <w:pStyle w:val="25"/>
        <w:tabs>
          <w:tab w:val="left" w:pos="1335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（2）在签订合同时不向你方提出附加条件；</w:t>
      </w:r>
    </w:p>
    <w:p w14:paraId="75D7B3B7">
      <w:pPr>
        <w:pStyle w:val="25"/>
        <w:tabs>
          <w:tab w:val="left" w:pos="1335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（3）在合同约定的期限内完成合同规定的全部义务。</w:t>
      </w:r>
    </w:p>
    <w:p w14:paraId="6F165EC6">
      <w:pPr>
        <w:pStyle w:val="25"/>
        <w:tabs>
          <w:tab w:val="left" w:pos="1139"/>
        </w:tabs>
        <w:ind w:firstLine="44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8"/>
          <w:sz w:val="30"/>
          <w:szCs w:val="30"/>
        </w:rPr>
        <w:t>我方在此声明，所递交的询比文件及有关资料内容完整、真实和准确。</w:t>
      </w:r>
    </w:p>
    <w:p w14:paraId="52283932">
      <w:pPr>
        <w:pStyle w:val="13"/>
        <w:tabs>
          <w:tab w:val="left" w:pos="7541"/>
        </w:tabs>
        <w:spacing w:after="0" w:line="288" w:lineRule="auto"/>
        <w:ind w:left="0" w:leftChars="0" w:firstLine="2100" w:firstLineChars="700"/>
        <w:rPr>
          <w:rFonts w:hint="default" w:ascii="Times New Roman" w:hAnsi="Times New Roman" w:cs="Times New Roman"/>
          <w:sz w:val="30"/>
          <w:szCs w:val="30"/>
          <w:lang w:eastAsia="zh"/>
        </w:rPr>
      </w:pPr>
    </w:p>
    <w:p w14:paraId="2DB12CDC">
      <w:pPr>
        <w:pStyle w:val="13"/>
        <w:tabs>
          <w:tab w:val="left" w:pos="7541"/>
        </w:tabs>
        <w:spacing w:after="0" w:line="288" w:lineRule="auto"/>
        <w:ind w:left="0" w:leftChars="0" w:firstLine="2100" w:firstLineChars="700"/>
        <w:rPr>
          <w:rFonts w:hint="default" w:ascii="Times New Roman" w:hAnsi="Times New Roman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sz w:val="30"/>
          <w:szCs w:val="30"/>
        </w:rPr>
        <w:t>响应人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cs="Times New Roman"/>
          <w:spacing w:val="-3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（盖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单</w:t>
      </w:r>
      <w:r>
        <w:rPr>
          <w:rFonts w:hint="default" w:ascii="Times New Roman" w:hAnsi="Times New Roman" w:cs="Times New Roman"/>
          <w:sz w:val="30"/>
          <w:szCs w:val="30"/>
        </w:rPr>
        <w:t>位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章</w:t>
      </w:r>
      <w:r>
        <w:rPr>
          <w:rFonts w:hint="default" w:ascii="Times New Roman" w:hAnsi="Times New Roman" w:cs="Times New Roman"/>
          <w:sz w:val="30"/>
          <w:szCs w:val="30"/>
        </w:rPr>
        <w:t>）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 xml:space="preserve"> </w:t>
      </w:r>
    </w:p>
    <w:p w14:paraId="5EC4396E">
      <w:pPr>
        <w:pStyle w:val="13"/>
        <w:tabs>
          <w:tab w:val="left" w:pos="7541"/>
        </w:tabs>
        <w:spacing w:after="0" w:line="288" w:lineRule="auto"/>
        <w:ind w:left="0" w:leftChars="0" w:firstLine="2100" w:firstLineChars="70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法定代表人或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其</w:t>
      </w:r>
      <w:r>
        <w:rPr>
          <w:rFonts w:hint="default" w:ascii="Times New Roman" w:hAnsi="Times New Roman" w:cs="Times New Roman"/>
          <w:sz w:val="30"/>
          <w:szCs w:val="30"/>
        </w:rPr>
        <w:t>委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托</w:t>
      </w:r>
      <w:r>
        <w:rPr>
          <w:rFonts w:hint="default" w:ascii="Times New Roman" w:hAnsi="Times New Roman" w:cs="Times New Roman"/>
          <w:sz w:val="30"/>
          <w:szCs w:val="30"/>
        </w:rPr>
        <w:t>代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理</w:t>
      </w:r>
      <w:r>
        <w:rPr>
          <w:rFonts w:hint="default" w:ascii="Times New Roman" w:hAnsi="Times New Roman" w:cs="Times New Roman"/>
          <w:sz w:val="30"/>
          <w:szCs w:val="30"/>
        </w:rPr>
        <w:t>人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cs="Times New Roman"/>
          <w:spacing w:val="-3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cs="Times New Roman"/>
          <w:spacing w:val="-3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（签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字或盖名章</w:t>
      </w:r>
      <w:r>
        <w:rPr>
          <w:rFonts w:hint="default" w:ascii="Times New Roman" w:hAnsi="Times New Roman" w:cs="Times New Roman"/>
          <w:sz w:val="30"/>
          <w:szCs w:val="30"/>
        </w:rPr>
        <w:t>）</w:t>
      </w:r>
    </w:p>
    <w:p w14:paraId="448FDB83">
      <w:pPr>
        <w:pStyle w:val="13"/>
        <w:tabs>
          <w:tab w:val="left" w:pos="7541"/>
        </w:tabs>
        <w:spacing w:after="0" w:line="288" w:lineRule="auto"/>
        <w:ind w:firstLine="2100" w:firstLineChars="700"/>
        <w:rPr>
          <w:rFonts w:hint="default" w:ascii="Times New Roman" w:hAnsi="Times New Roman" w:eastAsia="宋体" w:cs="Times New Roman"/>
          <w:sz w:val="30"/>
          <w:szCs w:val="30"/>
          <w:u w:val="single"/>
        </w:rPr>
      </w:pPr>
      <w:r>
        <w:rPr>
          <w:rFonts w:hint="default" w:ascii="Times New Roman" w:hAnsi="Times New Roman" w:cs="Times New Roman"/>
          <w:sz w:val="30"/>
          <w:szCs w:val="30"/>
        </w:rPr>
        <w:t>地 址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宋体" w:cs="Times New Roman"/>
          <w:sz w:val="30"/>
          <w:szCs w:val="30"/>
          <w:u w:val="single"/>
        </w:rPr>
        <w:t xml:space="preserve">          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eastAsia="宋体" w:cs="Times New Roman"/>
          <w:sz w:val="30"/>
          <w:szCs w:val="30"/>
          <w:u w:val="single"/>
        </w:rPr>
        <w:t xml:space="preserve">           </w:t>
      </w:r>
    </w:p>
    <w:p w14:paraId="5DE4F752">
      <w:pPr>
        <w:pStyle w:val="13"/>
        <w:tabs>
          <w:tab w:val="left" w:pos="7541"/>
        </w:tabs>
        <w:spacing w:after="0" w:line="288" w:lineRule="auto"/>
        <w:ind w:firstLine="2100" w:firstLineChars="700"/>
        <w:rPr>
          <w:rFonts w:hint="default" w:ascii="Times New Roman" w:hAnsi="Times New Roman" w:eastAsia="宋体" w:cs="Times New Roman"/>
          <w:sz w:val="30"/>
          <w:szCs w:val="30"/>
          <w:u w:val="single"/>
        </w:rPr>
      </w:pPr>
      <w:r>
        <w:rPr>
          <w:rFonts w:hint="default" w:ascii="Times New Roman" w:hAnsi="Times New Roman" w:cs="Times New Roman"/>
          <w:sz w:val="30"/>
          <w:szCs w:val="30"/>
        </w:rPr>
        <w:t>电 话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eastAsia="宋体" w:cs="Times New Roman"/>
          <w:sz w:val="30"/>
          <w:szCs w:val="30"/>
          <w:u w:val="single"/>
        </w:rPr>
        <w:t xml:space="preserve">           </w:t>
      </w:r>
    </w:p>
    <w:p w14:paraId="33F0FC13">
      <w:pPr>
        <w:pStyle w:val="13"/>
        <w:tabs>
          <w:tab w:val="left" w:pos="7541"/>
        </w:tabs>
        <w:spacing w:after="0" w:line="288" w:lineRule="auto"/>
        <w:ind w:firstLine="2100" w:firstLineChars="700"/>
        <w:rPr>
          <w:rFonts w:hint="default" w:ascii="Times New Roman" w:hAnsi="Times New Roman" w:eastAsia="宋体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传 真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eastAsia="宋体" w:cs="Times New Roman"/>
          <w:sz w:val="30"/>
          <w:szCs w:val="30"/>
          <w:u w:val="single"/>
        </w:rPr>
        <w:t xml:space="preserve">           </w:t>
      </w:r>
    </w:p>
    <w:p w14:paraId="3F034556">
      <w:pPr>
        <w:pStyle w:val="13"/>
        <w:tabs>
          <w:tab w:val="left" w:pos="8849"/>
        </w:tabs>
        <w:spacing w:after="0" w:line="288" w:lineRule="auto"/>
        <w:ind w:firstLine="2100" w:firstLineChars="700"/>
        <w:rPr>
          <w:rFonts w:hint="default" w:ascii="Times New Roman" w:hAnsi="Times New Roman" w:eastAsia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邮政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编</w:t>
      </w:r>
      <w:r>
        <w:rPr>
          <w:rFonts w:hint="default" w:ascii="Times New Roman" w:hAnsi="Times New Roman" w:cs="Times New Roman"/>
          <w:sz w:val="30"/>
          <w:szCs w:val="30"/>
        </w:rPr>
        <w:t>码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</w:p>
    <w:p w14:paraId="7B87C550">
      <w:pPr>
        <w:pStyle w:val="13"/>
        <w:tabs>
          <w:tab w:val="left" w:pos="631"/>
          <w:tab w:val="left" w:pos="1471"/>
          <w:tab w:val="left" w:pos="2311"/>
        </w:tabs>
        <w:spacing w:after="0" w:line="288" w:lineRule="auto"/>
        <w:ind w:firstLine="0" w:firstLineChars="0"/>
        <w:jc w:val="right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年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月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日</w:t>
      </w:r>
    </w:p>
    <w:p w14:paraId="22A97C6F">
      <w:pPr>
        <w:spacing w:line="288" w:lineRule="auto"/>
        <w:ind w:firstLine="0" w:firstLineChars="0"/>
        <w:jc w:val="right"/>
        <w:rPr>
          <w:rFonts w:hint="default" w:ascii="Times New Roman" w:hAnsi="Times New Roman" w:cs="Times New Roman"/>
          <w:sz w:val="24"/>
          <w:szCs w:val="24"/>
        </w:rPr>
        <w:sectPr>
          <w:pgSz w:w="12240" w:h="15840"/>
          <w:pgMar w:top="1500" w:right="1100" w:bottom="1120" w:left="1400" w:header="850" w:footer="992" w:gutter="0"/>
          <w:pgNumType w:fmt="numberInDash"/>
          <w:cols w:space="720" w:num="1"/>
        </w:sectPr>
      </w:pPr>
    </w:p>
    <w:p w14:paraId="70960A52">
      <w:pPr>
        <w:pStyle w:val="3"/>
        <w:ind w:firstLine="0" w:firstLineChars="0"/>
        <w:jc w:val="center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二、</w:t>
      </w:r>
      <w:r>
        <w:rPr>
          <w:rFonts w:hint="default" w:ascii="Times New Roman" w:hAnsi="Times New Roman" w:cs="Times New Roman"/>
          <w:color w:val="auto"/>
          <w:highlight w:val="none"/>
        </w:rPr>
        <w:t>法定代表人身份证明</w:t>
      </w:r>
      <w:bookmarkEnd w:id="7"/>
      <w:bookmarkEnd w:id="8"/>
      <w:bookmarkEnd w:id="9"/>
      <w:bookmarkEnd w:id="10"/>
    </w:p>
    <w:p w14:paraId="4716D19E">
      <w:pPr>
        <w:pStyle w:val="13"/>
        <w:tabs>
          <w:tab w:val="left" w:pos="4228"/>
        </w:tabs>
        <w:ind w:left="400" w:firstLine="0" w:firstLineChars="0"/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</w:rPr>
      </w:pPr>
    </w:p>
    <w:p w14:paraId="51746E8B">
      <w:pPr>
        <w:pStyle w:val="13"/>
        <w:tabs>
          <w:tab w:val="left" w:pos="4228"/>
        </w:tabs>
        <w:spacing w:after="0"/>
        <w:ind w:firstLine="476"/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名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称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ab/>
      </w:r>
    </w:p>
    <w:p w14:paraId="7AC1A3A8">
      <w:pPr>
        <w:pStyle w:val="13"/>
        <w:tabs>
          <w:tab w:val="left" w:pos="2712"/>
          <w:tab w:val="left" w:pos="4183"/>
          <w:tab w:val="left" w:pos="5652"/>
          <w:tab w:val="left" w:pos="7169"/>
        </w:tabs>
        <w:spacing w:after="0"/>
        <w:ind w:firstLine="480"/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姓名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性别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年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龄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</w:rPr>
        <w:t>职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务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ab/>
      </w:r>
    </w:p>
    <w:p w14:paraId="71B06A13">
      <w:pPr>
        <w:pStyle w:val="13"/>
        <w:tabs>
          <w:tab w:val="left" w:pos="3132"/>
        </w:tabs>
        <w:spacing w:after="0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系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称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的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法定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代表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。</w:t>
      </w:r>
    </w:p>
    <w:p w14:paraId="17E25976">
      <w:pPr>
        <w:pStyle w:val="13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特此证明。</w:t>
      </w:r>
    </w:p>
    <w:p w14:paraId="618EAF66">
      <w:pPr>
        <w:pStyle w:val="13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附：法定代表人身份证正反面复印件。</w:t>
      </w:r>
    </w:p>
    <w:p w14:paraId="39EBCA5A">
      <w:pPr>
        <w:pStyle w:val="13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注：本身份证明需由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人加盖单位公章。</w:t>
      </w:r>
    </w:p>
    <w:p w14:paraId="25BEA08F">
      <w:pPr>
        <w:pStyle w:val="13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1D225AD4">
      <w:pPr>
        <w:pStyle w:val="13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4A03386E">
      <w:pPr>
        <w:pStyle w:val="13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78989D63">
      <w:pPr>
        <w:pStyle w:val="13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11DADF78">
      <w:pPr>
        <w:pStyle w:val="13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14BBC5DB">
      <w:pPr>
        <w:pStyle w:val="13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02A20C13">
      <w:pPr>
        <w:pStyle w:val="13"/>
        <w:spacing w:before="1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1DB5DA25">
      <w:pPr>
        <w:pStyle w:val="13"/>
        <w:tabs>
          <w:tab w:val="left" w:pos="6821"/>
        </w:tabs>
        <w:ind w:left="4512" w:firstLine="0" w:firstLineChars="0"/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</w:pP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（单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公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章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）</w:t>
      </w:r>
    </w:p>
    <w:p w14:paraId="63541DCF">
      <w:pPr>
        <w:ind w:firstLine="5280" w:firstLineChars="220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sectPr>
          <w:pgSz w:w="12240" w:h="15840"/>
          <w:pgMar w:top="1400" w:right="1100" w:bottom="1120" w:left="1400" w:header="850" w:footer="992" w:gutter="0"/>
          <w:pgNumType w:fmt="numberInDash"/>
          <w:cols w:space="720" w:num="1"/>
        </w:sect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202X年X月X日</w:t>
      </w:r>
    </w:p>
    <w:p w14:paraId="2D087F44">
      <w:pPr>
        <w:pStyle w:val="3"/>
        <w:ind w:firstLine="0" w:firstLineChars="0"/>
        <w:jc w:val="center"/>
        <w:rPr>
          <w:rFonts w:hint="default" w:ascii="Times New Roman" w:hAnsi="Times New Roman" w:cs="Times New Roman"/>
          <w:color w:val="auto"/>
          <w:highlight w:val="none"/>
        </w:rPr>
      </w:pPr>
      <w:bookmarkStart w:id="15" w:name="_Toc31048"/>
      <w:bookmarkStart w:id="16" w:name="_Toc23822"/>
      <w:bookmarkStart w:id="17" w:name="_Toc18880"/>
      <w:bookmarkStart w:id="18" w:name="_Toc21177"/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三、</w:t>
      </w:r>
      <w:r>
        <w:rPr>
          <w:rFonts w:hint="default" w:ascii="Times New Roman" w:hAnsi="Times New Roman" w:cs="Times New Roman"/>
          <w:color w:val="auto"/>
          <w:highlight w:val="none"/>
        </w:rPr>
        <w:t>授权委托书</w:t>
      </w:r>
      <w:bookmarkEnd w:id="15"/>
      <w:bookmarkEnd w:id="16"/>
      <w:bookmarkEnd w:id="17"/>
      <w:bookmarkEnd w:id="18"/>
    </w:p>
    <w:p w14:paraId="3A073137">
      <w:pPr>
        <w:pStyle w:val="13"/>
        <w:tabs>
          <w:tab w:val="left" w:pos="2721"/>
          <w:tab w:val="left" w:pos="5885"/>
        </w:tabs>
        <w:ind w:left="820"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40F7D8D5">
      <w:pPr>
        <w:pStyle w:val="13"/>
        <w:tabs>
          <w:tab w:val="left" w:pos="2721"/>
          <w:tab w:val="left" w:pos="5885"/>
        </w:tabs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本人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姓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名）系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称）的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法定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代表人，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现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委</w:t>
      </w: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</w:rPr>
        <w:t>托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（姓名）为我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方代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理人。代理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根据授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权，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以我方名义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签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署、澄清确认、递交、撤回、修改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项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目名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称</w:t>
      </w:r>
      <w:r>
        <w:rPr>
          <w:rFonts w:hint="default" w:ascii="Times New Roman" w:hAnsi="Times New Roman" w:cs="Times New Roman"/>
          <w:color w:val="auto"/>
          <w:spacing w:val="-27"/>
          <w:sz w:val="24"/>
          <w:szCs w:val="24"/>
          <w:highlight w:val="none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文件、签订合同和处理有关事宜，其法律后果由我方承担。</w:t>
      </w:r>
    </w:p>
    <w:p w14:paraId="7F4632A6">
      <w:pPr>
        <w:pStyle w:val="13"/>
        <w:tabs>
          <w:tab w:val="left" w:pos="3866"/>
        </w:tabs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委托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期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限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。</w:t>
      </w:r>
    </w:p>
    <w:p w14:paraId="43121140">
      <w:pPr>
        <w:pStyle w:val="13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代理人无转委托权。</w:t>
      </w:r>
    </w:p>
    <w:p w14:paraId="272CA356">
      <w:pPr>
        <w:pStyle w:val="13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7682E0F9">
      <w:pPr>
        <w:pStyle w:val="13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3D613852">
      <w:pPr>
        <w:pStyle w:val="13"/>
        <w:spacing w:after="0"/>
        <w:ind w:firstLine="480"/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附：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委托代理人须为本单位正式在岗职工，须提供身份证正反面复印件。</w:t>
      </w:r>
    </w:p>
    <w:p w14:paraId="55BA642D">
      <w:pPr>
        <w:pStyle w:val="13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3016EDA1">
      <w:pPr>
        <w:pStyle w:val="13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注：本授权委托书需由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人加盖单位公章并由其法定代表人和委托代理人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签字或盖章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。</w:t>
      </w:r>
    </w:p>
    <w:p w14:paraId="25E99F2B">
      <w:pPr>
        <w:pStyle w:val="13"/>
        <w:tabs>
          <w:tab w:val="left" w:pos="3516"/>
          <w:tab w:val="left" w:pos="3936"/>
          <w:tab w:val="left" w:pos="754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07A31409">
      <w:pPr>
        <w:pStyle w:val="13"/>
        <w:tabs>
          <w:tab w:val="left" w:pos="3516"/>
          <w:tab w:val="left" w:pos="3936"/>
          <w:tab w:val="left" w:pos="754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608D0381">
      <w:pPr>
        <w:pStyle w:val="13"/>
        <w:tabs>
          <w:tab w:val="left" w:pos="3516"/>
          <w:tab w:val="left" w:pos="3936"/>
          <w:tab w:val="left" w:pos="754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  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  <w:lang w:val="en-US" w:eastAsia="zh-CN"/>
        </w:rPr>
        <w:t xml:space="preserve">                       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（单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公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章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）</w:t>
      </w:r>
    </w:p>
    <w:p w14:paraId="1CCC5E48">
      <w:pPr>
        <w:pStyle w:val="13"/>
        <w:tabs>
          <w:tab w:val="left" w:pos="796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法定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代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表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  <w:u w:val="single"/>
          <w:lang w:val="en-US" w:eastAsia="zh-CN"/>
        </w:rPr>
        <w:t xml:space="preserve">                    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签字或盖章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）</w:t>
      </w:r>
    </w:p>
    <w:p w14:paraId="6749B1A4">
      <w:pPr>
        <w:pStyle w:val="13"/>
        <w:tabs>
          <w:tab w:val="left" w:pos="8849"/>
        </w:tabs>
        <w:spacing w:after="0"/>
        <w:ind w:left="0" w:leftChars="0" w:firstLine="2558" w:firstLineChars="1066"/>
        <w:jc w:val="both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身份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证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号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码：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  <w:lang w:val="en-US" w:eastAsia="zh-CN"/>
        </w:rPr>
        <w:t xml:space="preserve">                      </w:t>
      </w:r>
    </w:p>
    <w:p w14:paraId="1130D758">
      <w:pPr>
        <w:pStyle w:val="13"/>
        <w:tabs>
          <w:tab w:val="left" w:pos="796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委托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代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理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  <w:lang w:val="en-US" w:eastAsia="zh-CN"/>
        </w:rPr>
        <w:t xml:space="preserve">                     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签字或盖章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）</w:t>
      </w:r>
    </w:p>
    <w:p w14:paraId="19C1FAA0">
      <w:pPr>
        <w:pStyle w:val="13"/>
        <w:tabs>
          <w:tab w:val="left" w:pos="8849"/>
        </w:tabs>
        <w:spacing w:after="0"/>
        <w:ind w:left="0" w:leftChars="0" w:firstLine="2558" w:firstLineChars="1066"/>
        <w:jc w:val="both"/>
        <w:rPr>
          <w:rFonts w:hint="default" w:ascii="Times New Roman" w:hAnsi="Times New Roman" w:eastAsia="仿宋" w:cs="Times New Roman"/>
          <w:color w:val="auto"/>
          <w:highlight w:val="none"/>
          <w:u w:val="singl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身份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证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号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码：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  <w:lang w:val="en-US" w:eastAsia="zh-CN"/>
        </w:rPr>
        <w:t xml:space="preserve">                      </w:t>
      </w:r>
    </w:p>
    <w:p w14:paraId="41B893AF">
      <w:pPr>
        <w:pStyle w:val="13"/>
        <w:spacing w:before="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03904C28">
      <w:pPr>
        <w:numPr>
          <w:ilvl w:val="0"/>
          <w:numId w:val="0"/>
        </w:numPr>
        <w:bidi w:val="0"/>
        <w:jc w:val="center"/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A46851A">
      <w:pPr>
        <w:pStyle w:val="3"/>
        <w:ind w:firstLine="0" w:firstLineChars="0"/>
        <w:jc w:val="center"/>
        <w:rPr>
          <w:rFonts w:hint="default" w:ascii="Times New Roman" w:hAnsi="Times New Roman" w:cs="Times New Roman"/>
        </w:rPr>
      </w:pPr>
      <w:bookmarkStart w:id="19" w:name="_Toc29450"/>
      <w:bookmarkStart w:id="20" w:name="_Toc29305"/>
      <w:bookmarkStart w:id="21" w:name="_Toc7191"/>
      <w:bookmarkStart w:id="22" w:name="_Toc18060"/>
      <w:r>
        <w:rPr>
          <w:rFonts w:hint="default" w:ascii="Times New Roman" w:hAnsi="Times New Roman" w:cs="Times New Roman"/>
        </w:rPr>
        <w:t>四、资格审查资料</w:t>
      </w:r>
      <w:bookmarkEnd w:id="19"/>
      <w:bookmarkEnd w:id="20"/>
      <w:bookmarkEnd w:id="21"/>
      <w:bookmarkEnd w:id="22"/>
    </w:p>
    <w:p w14:paraId="14F59E69">
      <w:pPr>
        <w:pStyle w:val="4"/>
        <w:ind w:firstLine="640"/>
        <w:rPr>
          <w:rFonts w:hint="default" w:ascii="Times New Roman" w:hAnsi="Times New Roman" w:cs="Times New Roman"/>
        </w:rPr>
      </w:pPr>
      <w:bookmarkStart w:id="23" w:name="_Toc14553"/>
      <w:bookmarkStart w:id="24" w:name="_Toc19069"/>
      <w:bookmarkStart w:id="25" w:name="_Toc15270"/>
      <w:r>
        <w:rPr>
          <w:rFonts w:hint="default" w:ascii="Times New Roman" w:hAnsi="Times New Roman" w:cs="Times New Roman"/>
        </w:rPr>
        <w:t>（一）基本情况表</w:t>
      </w:r>
      <w:bookmarkEnd w:id="23"/>
      <w:bookmarkEnd w:id="24"/>
      <w:bookmarkEnd w:id="25"/>
    </w:p>
    <w:tbl>
      <w:tblPr>
        <w:tblStyle w:val="17"/>
        <w:tblW w:w="0" w:type="auto"/>
        <w:tblInd w:w="-1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0"/>
        <w:gridCol w:w="1015"/>
        <w:gridCol w:w="2055"/>
        <w:gridCol w:w="1274"/>
        <w:gridCol w:w="2267"/>
      </w:tblGrid>
      <w:tr w14:paraId="7EF2C8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2540" w:type="dxa"/>
            <w:vAlign w:val="center"/>
          </w:tcPr>
          <w:p w14:paraId="79171231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响应人名称</w:t>
            </w:r>
          </w:p>
        </w:tc>
        <w:tc>
          <w:tcPr>
            <w:tcW w:w="6611" w:type="dxa"/>
            <w:gridSpan w:val="4"/>
            <w:vAlign w:val="center"/>
          </w:tcPr>
          <w:p w14:paraId="10D7A7C0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7AFE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2540" w:type="dxa"/>
            <w:vAlign w:val="center"/>
          </w:tcPr>
          <w:p w14:paraId="7C7B1C02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注册资金</w:t>
            </w:r>
          </w:p>
        </w:tc>
        <w:tc>
          <w:tcPr>
            <w:tcW w:w="3070" w:type="dxa"/>
            <w:gridSpan w:val="2"/>
            <w:vAlign w:val="center"/>
          </w:tcPr>
          <w:p w14:paraId="6405E7B6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09F8EE89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成立时间</w:t>
            </w:r>
          </w:p>
        </w:tc>
        <w:tc>
          <w:tcPr>
            <w:tcW w:w="2267" w:type="dxa"/>
            <w:vAlign w:val="center"/>
          </w:tcPr>
          <w:p w14:paraId="093F08D2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FC981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540" w:type="dxa"/>
            <w:vAlign w:val="center"/>
          </w:tcPr>
          <w:p w14:paraId="5AA2EF66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注册地址</w:t>
            </w:r>
          </w:p>
        </w:tc>
        <w:tc>
          <w:tcPr>
            <w:tcW w:w="6611" w:type="dxa"/>
            <w:gridSpan w:val="4"/>
            <w:vAlign w:val="center"/>
          </w:tcPr>
          <w:p w14:paraId="716EA36F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321B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2540" w:type="dxa"/>
            <w:vAlign w:val="center"/>
          </w:tcPr>
          <w:p w14:paraId="6FECF4C9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邮政编码</w:t>
            </w:r>
          </w:p>
        </w:tc>
        <w:tc>
          <w:tcPr>
            <w:tcW w:w="3070" w:type="dxa"/>
            <w:gridSpan w:val="2"/>
            <w:vAlign w:val="center"/>
          </w:tcPr>
          <w:p w14:paraId="1529AFA2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72C64075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员工总数</w:t>
            </w:r>
          </w:p>
        </w:tc>
        <w:tc>
          <w:tcPr>
            <w:tcW w:w="2267" w:type="dxa"/>
            <w:vAlign w:val="center"/>
          </w:tcPr>
          <w:p w14:paraId="4190209D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5DF2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2540" w:type="dxa"/>
            <w:vMerge w:val="restart"/>
            <w:vAlign w:val="center"/>
          </w:tcPr>
          <w:p w14:paraId="3756AD48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联系方式</w:t>
            </w:r>
          </w:p>
        </w:tc>
        <w:tc>
          <w:tcPr>
            <w:tcW w:w="1015" w:type="dxa"/>
            <w:vAlign w:val="center"/>
          </w:tcPr>
          <w:p w14:paraId="42B7E877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联系人</w:t>
            </w:r>
          </w:p>
        </w:tc>
        <w:tc>
          <w:tcPr>
            <w:tcW w:w="2055" w:type="dxa"/>
            <w:vAlign w:val="center"/>
          </w:tcPr>
          <w:p w14:paraId="704363DE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20D3A83F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2267" w:type="dxa"/>
            <w:vAlign w:val="center"/>
          </w:tcPr>
          <w:p w14:paraId="44B3B018">
            <w:pPr>
              <w:pStyle w:val="29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（注：优先留存项目直接负责人有效联系电话，请勿填报前台、无关办公座机等无效联系电话）</w:t>
            </w:r>
          </w:p>
        </w:tc>
      </w:tr>
      <w:tr w14:paraId="45E16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40" w:type="dxa"/>
            <w:vMerge w:val="continue"/>
            <w:tcBorders>
              <w:top w:val="nil"/>
            </w:tcBorders>
            <w:vAlign w:val="center"/>
          </w:tcPr>
          <w:p w14:paraId="2695CB3D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66654A15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网址</w:t>
            </w:r>
          </w:p>
        </w:tc>
        <w:tc>
          <w:tcPr>
            <w:tcW w:w="2055" w:type="dxa"/>
            <w:vAlign w:val="center"/>
          </w:tcPr>
          <w:p w14:paraId="67CE79E2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27B43455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传真</w:t>
            </w:r>
          </w:p>
        </w:tc>
        <w:tc>
          <w:tcPr>
            <w:tcW w:w="2267" w:type="dxa"/>
            <w:vAlign w:val="center"/>
          </w:tcPr>
          <w:p w14:paraId="2D255B99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D33F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40" w:type="dxa"/>
            <w:vAlign w:val="center"/>
          </w:tcPr>
          <w:p w14:paraId="18AED8A7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法定代表人</w:t>
            </w:r>
          </w:p>
        </w:tc>
        <w:tc>
          <w:tcPr>
            <w:tcW w:w="1015" w:type="dxa"/>
            <w:vAlign w:val="center"/>
          </w:tcPr>
          <w:p w14:paraId="74AE5A6C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055" w:type="dxa"/>
            <w:vAlign w:val="center"/>
          </w:tcPr>
          <w:p w14:paraId="5C7FAE0B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193A6574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2267" w:type="dxa"/>
            <w:vAlign w:val="center"/>
          </w:tcPr>
          <w:p w14:paraId="416D6A58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73B8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2540" w:type="dxa"/>
            <w:vAlign w:val="center"/>
          </w:tcPr>
          <w:p w14:paraId="4DE98FDB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响应人须知要求响应人需具有的各类资质证书</w:t>
            </w:r>
          </w:p>
        </w:tc>
        <w:tc>
          <w:tcPr>
            <w:tcW w:w="6611" w:type="dxa"/>
            <w:gridSpan w:val="4"/>
            <w:vAlign w:val="center"/>
          </w:tcPr>
          <w:p w14:paraId="39C3C093">
            <w:pPr>
              <w:pStyle w:val="29"/>
              <w:spacing w:before="7"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5AC3CF3">
            <w:pPr>
              <w:pStyle w:val="29"/>
              <w:tabs>
                <w:tab w:val="left" w:pos="2314"/>
                <w:tab w:val="left" w:pos="4414"/>
              </w:tabs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类型：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>等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级：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证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>书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号：</w:t>
            </w:r>
          </w:p>
        </w:tc>
      </w:tr>
      <w:tr w14:paraId="45A1E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2540" w:type="dxa"/>
            <w:vAlign w:val="center"/>
          </w:tcPr>
          <w:p w14:paraId="46FAE610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基本账户开户银行</w:t>
            </w:r>
          </w:p>
        </w:tc>
        <w:tc>
          <w:tcPr>
            <w:tcW w:w="6611" w:type="dxa"/>
            <w:gridSpan w:val="4"/>
            <w:vAlign w:val="center"/>
          </w:tcPr>
          <w:p w14:paraId="2423B896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01F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540" w:type="dxa"/>
            <w:vAlign w:val="center"/>
          </w:tcPr>
          <w:p w14:paraId="599FBFED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基本账户银行账号</w:t>
            </w:r>
          </w:p>
        </w:tc>
        <w:tc>
          <w:tcPr>
            <w:tcW w:w="6611" w:type="dxa"/>
            <w:gridSpan w:val="4"/>
            <w:vAlign w:val="center"/>
          </w:tcPr>
          <w:p w14:paraId="481FD22F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EA58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7" w:hRule="atLeast"/>
        </w:trPr>
        <w:tc>
          <w:tcPr>
            <w:tcW w:w="2540" w:type="dxa"/>
            <w:vAlign w:val="center"/>
          </w:tcPr>
          <w:p w14:paraId="3A92FEB2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响应人关联企业情况（包括但不限于与响应人法定代表人为同一人或者存在控股、管理关系的不同单位）</w:t>
            </w:r>
          </w:p>
        </w:tc>
        <w:tc>
          <w:tcPr>
            <w:tcW w:w="6611" w:type="dxa"/>
            <w:gridSpan w:val="4"/>
            <w:vAlign w:val="center"/>
          </w:tcPr>
          <w:p w14:paraId="72976A03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C8E6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540" w:type="dxa"/>
            <w:vAlign w:val="center"/>
          </w:tcPr>
          <w:p w14:paraId="29178987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备注</w:t>
            </w:r>
          </w:p>
        </w:tc>
        <w:tc>
          <w:tcPr>
            <w:tcW w:w="6611" w:type="dxa"/>
            <w:gridSpan w:val="4"/>
            <w:vAlign w:val="center"/>
          </w:tcPr>
          <w:p w14:paraId="7123074D"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6F2C101C">
      <w:pPr>
        <w:pStyle w:val="13"/>
        <w:spacing w:after="0" w:line="240" w:lineRule="auto"/>
        <w:ind w:firstLine="0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注：响应人应在本表后附相关证明材料：</w:t>
      </w:r>
    </w:p>
    <w:p w14:paraId="26E56979">
      <w:pPr>
        <w:pStyle w:val="13"/>
        <w:numPr>
          <w:ilvl w:val="0"/>
          <w:numId w:val="3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营业执照；</w:t>
      </w:r>
    </w:p>
    <w:p w14:paraId="0222DF67">
      <w:pPr>
        <w:pStyle w:val="13"/>
        <w:numPr>
          <w:ilvl w:val="0"/>
          <w:numId w:val="3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一般纳税人证明</w:t>
      </w:r>
      <w:r>
        <w:rPr>
          <w:rFonts w:hint="default" w:ascii="Times New Roman" w:hAnsi="Times New Roman" w:cs="Times New Roman"/>
          <w:sz w:val="24"/>
          <w:szCs w:val="24"/>
        </w:rPr>
        <w:t>（证明材料可为电子税务局网页端「一般纳税人资格查询」截图（带税务系统页面）或增值税一般纳税人资格备案/登记表）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或其他能证明具备开具增值税专用发票的证明</w:t>
      </w:r>
      <w:r>
        <w:rPr>
          <w:rFonts w:hint="default" w:ascii="Times New Roman" w:hAnsi="Times New Roman" w:cs="Times New Roman"/>
          <w:sz w:val="24"/>
          <w:szCs w:val="24"/>
        </w:rPr>
        <w:t>（例如近一年内开具的增值税专用发票等）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；</w:t>
      </w:r>
    </w:p>
    <w:p w14:paraId="6B6EF366">
      <w:pPr>
        <w:pStyle w:val="13"/>
        <w:numPr>
          <w:ilvl w:val="0"/>
          <w:numId w:val="3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基本账户信息；</w:t>
      </w:r>
    </w:p>
    <w:p w14:paraId="50A2629C">
      <w:pPr>
        <w:pStyle w:val="13"/>
        <w:numPr>
          <w:ilvl w:val="0"/>
          <w:numId w:val="3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响应人关联企业证明材料（如有）；</w:t>
      </w:r>
      <w:r>
        <w:rPr>
          <w:rFonts w:hint="default" w:ascii="Times New Roman" w:hAnsi="Times New Roman" w:cs="Times New Roman"/>
          <w:b/>
          <w:bCs/>
          <w:spacing w:val="4"/>
          <w:sz w:val="24"/>
          <w:szCs w:val="24"/>
        </w:rPr>
        <w:t>（清晰的复印件加盖响应人公章）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。</w:t>
      </w:r>
    </w:p>
    <w:p w14:paraId="6EF6DCFE">
      <w:pPr>
        <w:pStyle w:val="13"/>
        <w:numPr>
          <w:ilvl w:val="0"/>
          <w:numId w:val="3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法定经营、行业准入、合规认证强制要求的资质证书（如有，经销商和代理商提供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相应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的资质证明材料）；</w:t>
      </w:r>
    </w:p>
    <w:p w14:paraId="68628988">
      <w:pPr>
        <w:pStyle w:val="13"/>
        <w:widowControl w:val="0"/>
        <w:numPr>
          <w:ilvl w:val="0"/>
          <w:numId w:val="0"/>
        </w:numPr>
        <w:spacing w:after="0" w:afterLines="0" w:afterAutospacing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B8972F9">
      <w:pPr>
        <w:pStyle w:val="13"/>
        <w:widowControl w:val="0"/>
        <w:numPr>
          <w:ilvl w:val="0"/>
          <w:numId w:val="0"/>
        </w:numPr>
        <w:spacing w:after="0" w:afterLines="0" w:afterAutospacing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44C235E">
      <w:pPr>
        <w:pStyle w:val="13"/>
        <w:widowControl w:val="0"/>
        <w:numPr>
          <w:ilvl w:val="0"/>
          <w:numId w:val="0"/>
        </w:numPr>
        <w:spacing w:after="0" w:afterLines="0" w:afterAutospacing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9D296AE">
      <w:pPr>
        <w:pStyle w:val="13"/>
        <w:widowControl w:val="0"/>
        <w:numPr>
          <w:ilvl w:val="0"/>
          <w:numId w:val="0"/>
        </w:numPr>
        <w:spacing w:after="0" w:afterLines="0" w:afterAutospacing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4AD2FF1"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附件1</w:t>
      </w:r>
    </w:p>
    <w:p w14:paraId="7A919BA5"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...</w:t>
      </w:r>
    </w:p>
    <w:p w14:paraId="727A7384">
      <w:pPr>
        <w:bidi w:val="0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070C137">
      <w:pPr>
        <w:pStyle w:val="4"/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cs="Times New Roman"/>
          <w:lang w:eastAsia="zh"/>
        </w:rPr>
        <w:t>二</w:t>
      </w:r>
      <w:r>
        <w:rPr>
          <w:rFonts w:hint="default" w:ascii="Times New Roman" w:hAnsi="Times New Roman" w:cs="Times New Roman"/>
        </w:rPr>
        <w:t>）信用情况</w:t>
      </w:r>
    </w:p>
    <w:p w14:paraId="4F156C20">
      <w:pPr>
        <w:widowControl/>
        <w:ind w:firstLine="640"/>
        <w:textAlignment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注：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1）</w:t>
      </w:r>
      <w:r>
        <w:rPr>
          <w:rFonts w:hint="default" w:ascii="Times New Roman" w:hAnsi="Times New Roman" w:cs="Times New Roman"/>
          <w:sz w:val="24"/>
          <w:szCs w:val="24"/>
        </w:rPr>
        <w:t>提供近1个月内的信用中国网站（www.creditchina.gov.cn/）查询截图，须完整显示：未被人民法院列入失信被执行人名单，无重大税收违法失信主体、政府采购严重违法失信行为记录；</w:t>
      </w:r>
    </w:p>
    <w:p w14:paraId="5B2379B1">
      <w:pPr>
        <w:widowControl/>
        <w:ind w:firstLine="640"/>
        <w:textAlignment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2）提供近1个月内的国家企业信用信息公示系统（https://www.gsxt.gov.cn/）查询截图，须完整显示：未被列入严重违法失信名单（黑名单）、无影响本项目履约的行政处罚记录。</w:t>
      </w:r>
    </w:p>
    <w:p w14:paraId="00B10817">
      <w:pPr>
        <w:pStyle w:val="13"/>
        <w:spacing w:before="170" w:line="360" w:lineRule="auto"/>
        <w:ind w:left="400" w:right="694" w:firstLine="0" w:firstLineChars="0"/>
        <w:rPr>
          <w:rFonts w:hint="default" w:ascii="Times New Roman" w:hAnsi="Times New Roman" w:cs="Times New Roman"/>
          <w:sz w:val="24"/>
          <w:szCs w:val="24"/>
        </w:rPr>
        <w:sectPr>
          <w:pgSz w:w="12240" w:h="15840"/>
          <w:pgMar w:top="1480" w:right="1100" w:bottom="1120" w:left="1400" w:header="850" w:footer="992" w:gutter="0"/>
          <w:pgNumType w:fmt="numberInDash"/>
          <w:cols w:space="720" w:num="1"/>
        </w:sectPr>
      </w:pPr>
    </w:p>
    <w:p w14:paraId="1E53F541">
      <w:pPr>
        <w:pStyle w:val="3"/>
        <w:keepNext w:val="0"/>
        <w:keepLines w:val="0"/>
        <w:pageBreakBefore w:val="0"/>
        <w:numPr>
          <w:ilvl w:val="-1"/>
          <w:numId w:val="0"/>
        </w:numPr>
        <w:wordWrap/>
        <w:topLinePunct w:val="0"/>
        <w:bidi w:val="0"/>
        <w:ind w:left="0" w:firstLine="0" w:firstLineChars="0"/>
        <w:jc w:val="center"/>
        <w:textAlignment w:val="auto"/>
        <w:rPr>
          <w:rFonts w:hint="default" w:ascii="Times New Roman" w:hAnsi="Times New Roman" w:cs="Times New Roman"/>
        </w:rPr>
      </w:pPr>
      <w:bookmarkStart w:id="26" w:name="_Toc7211"/>
      <w:r>
        <w:rPr>
          <w:rFonts w:hint="default" w:ascii="Times New Roman" w:hAnsi="Times New Roman" w:cs="Times New Roman"/>
          <w:lang w:val="en-US" w:eastAsia="zh-CN"/>
        </w:rPr>
        <w:t>五、</w:t>
      </w:r>
      <w:r>
        <w:rPr>
          <w:rFonts w:hint="default" w:ascii="Times New Roman" w:hAnsi="Times New Roman" w:cs="Times New Roman"/>
        </w:rPr>
        <w:t>相关业绩</w:t>
      </w:r>
      <w:bookmarkEnd w:id="26"/>
    </w:p>
    <w:p w14:paraId="15F4875F">
      <w:pPr>
        <w:keepNext w:val="0"/>
        <w:keepLines w:val="0"/>
        <w:pageBreakBefore w:val="0"/>
        <w:widowControl/>
        <w:wordWrap/>
        <w:topLinePunct w:val="0"/>
        <w:bidi w:val="0"/>
        <w:spacing w:line="288" w:lineRule="atLeast"/>
        <w:ind w:firstLine="0" w:firstLineChars="0"/>
        <w:jc w:val="center"/>
        <w:textAlignment w:val="auto"/>
        <w:rPr>
          <w:rFonts w:hint="default" w:ascii="Times New Roman" w:hAnsi="Times New Roman" w:cs="Times New Roman"/>
          <w:lang w:bidi="ar"/>
        </w:rPr>
      </w:pPr>
      <w:r>
        <w:rPr>
          <w:rFonts w:hint="default" w:ascii="Times New Roman" w:hAnsi="Times New Roman" w:cs="Times New Roman"/>
          <w:lang w:bidi="ar"/>
        </w:rPr>
        <w:t>业绩汇总表</w:t>
      </w:r>
    </w:p>
    <w:tbl>
      <w:tblPr>
        <w:tblStyle w:val="18"/>
        <w:tblW w:w="92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711"/>
        <w:gridCol w:w="2412"/>
        <w:gridCol w:w="1512"/>
        <w:gridCol w:w="1560"/>
        <w:gridCol w:w="1320"/>
      </w:tblGrid>
      <w:tr w14:paraId="5F930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A094C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序号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394E1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客户单位名称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367A4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工程名称</w:t>
            </w:r>
          </w:p>
          <w:p w14:paraId="379BA145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（项目名称）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6B1BA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合同价格</w:t>
            </w:r>
          </w:p>
          <w:p w14:paraId="125D1F5D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（万元）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8F0C1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合同签订</w:t>
            </w:r>
          </w:p>
          <w:p w14:paraId="3588D7E8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时间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FB72C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联系人</w:t>
            </w:r>
          </w:p>
          <w:p w14:paraId="04B2EF4D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及电话</w:t>
            </w:r>
          </w:p>
        </w:tc>
      </w:tr>
      <w:tr w14:paraId="60BE1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8EBF0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1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700A6A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C4F24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4C841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35DF4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80253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4E891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C6F2B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2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1CFFD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4F10F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07F40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E99F0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43DF1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34907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D87DD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3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21542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65513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A9A69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28630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2A353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57012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33EA8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...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78693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2A38D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90C26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3E2ED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55EC2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6BE01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0ED0C">
            <w:pPr>
              <w:pStyle w:val="15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2CF28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21DA7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86DA1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28ACA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31DEF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13119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40521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57A5D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3FE2E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AED9F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ACE78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FA60A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4DC3A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651E6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0BE2A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C5AC0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25D93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CCAD5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E4617"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</w:tbl>
    <w:p w14:paraId="66A01ACB">
      <w:pPr>
        <w:pStyle w:val="30"/>
        <w:keepNext w:val="0"/>
        <w:keepLines w:val="0"/>
        <w:pageBreakBefore w:val="0"/>
        <w:wordWrap/>
        <w:topLinePunct w:val="0"/>
        <w:bidi w:val="0"/>
        <w:ind w:firstLine="0" w:firstLineChars="0"/>
        <w:jc w:val="center"/>
        <w:textAlignment w:val="auto"/>
        <w:rPr>
          <w:rFonts w:hint="default" w:ascii="Times New Roman" w:hAnsi="Times New Roman" w:cs="Times New Roman"/>
        </w:rPr>
      </w:pPr>
    </w:p>
    <w:p w14:paraId="58DBC85B">
      <w:pPr>
        <w:pStyle w:val="12"/>
        <w:rPr>
          <w:rFonts w:hint="default" w:ascii="Times New Roman" w:hAnsi="Times New Roman" w:cs="Times New Roman"/>
        </w:rPr>
      </w:pPr>
    </w:p>
    <w:p w14:paraId="4FD88F30">
      <w:pPr>
        <w:rPr>
          <w:rFonts w:hint="default" w:ascii="Times New Roman" w:hAnsi="Times New Roman" w:cs="Times New Roman"/>
        </w:rPr>
      </w:pPr>
    </w:p>
    <w:p w14:paraId="562CFA31">
      <w:pPr>
        <w:rPr>
          <w:rFonts w:hint="default" w:ascii="Times New Roman" w:hAnsi="Times New Roman" w:cs="Times New Roman"/>
        </w:rPr>
      </w:pPr>
    </w:p>
    <w:p w14:paraId="3B05531D">
      <w:pPr>
        <w:rPr>
          <w:rFonts w:hint="default" w:ascii="Times New Roman" w:hAnsi="Times New Roman" w:cs="Times New Roman"/>
        </w:rPr>
      </w:pPr>
    </w:p>
    <w:p w14:paraId="39997E7C">
      <w:pPr>
        <w:rPr>
          <w:rFonts w:hint="default" w:ascii="Times New Roman" w:hAnsi="Times New Roman" w:cs="Times New Roman"/>
        </w:rPr>
      </w:pPr>
    </w:p>
    <w:p w14:paraId="7F611795">
      <w:pPr>
        <w:rPr>
          <w:rFonts w:hint="default" w:ascii="Times New Roman" w:hAnsi="Times New Roman" w:cs="Times New Roman"/>
        </w:rPr>
      </w:pPr>
    </w:p>
    <w:p w14:paraId="5BA81D54">
      <w:pPr>
        <w:rPr>
          <w:rFonts w:hint="default" w:ascii="Times New Roman" w:hAnsi="Times New Roman" w:cs="Times New Roman"/>
        </w:rPr>
      </w:pPr>
    </w:p>
    <w:p w14:paraId="25E1B6E6">
      <w:pPr>
        <w:rPr>
          <w:rFonts w:hint="default" w:ascii="Times New Roman" w:hAnsi="Times New Roman" w:cs="Times New Roman"/>
        </w:rPr>
      </w:pPr>
    </w:p>
    <w:p w14:paraId="1514F3C6">
      <w:pPr>
        <w:rPr>
          <w:rFonts w:hint="default" w:ascii="Times New Roman" w:hAnsi="Times New Roman" w:cs="Times New Roman"/>
        </w:rPr>
      </w:pPr>
    </w:p>
    <w:p w14:paraId="230C116D">
      <w:pPr>
        <w:rPr>
          <w:rFonts w:hint="default" w:ascii="Times New Roman" w:hAnsi="Times New Roman" w:cs="Times New Roman"/>
        </w:rPr>
      </w:pPr>
    </w:p>
    <w:p w14:paraId="08291B6A">
      <w:pPr>
        <w:rPr>
          <w:rFonts w:hint="default" w:ascii="Times New Roman" w:hAnsi="Times New Roman" w:cs="Times New Roman"/>
        </w:rPr>
      </w:pPr>
    </w:p>
    <w:p w14:paraId="04E0DDE8">
      <w:pPr>
        <w:rPr>
          <w:rFonts w:hint="default" w:ascii="Times New Roman" w:hAnsi="Times New Roman" w:cs="Times New Roman"/>
        </w:rPr>
      </w:pPr>
    </w:p>
    <w:p w14:paraId="273BF1BF">
      <w:pPr>
        <w:rPr>
          <w:rFonts w:hint="default" w:ascii="Times New Roman" w:hAnsi="Times New Roman" w:cs="Times New Roman"/>
        </w:rPr>
      </w:pPr>
    </w:p>
    <w:p w14:paraId="6C74B4AA">
      <w:pPr>
        <w:rPr>
          <w:rFonts w:hint="default" w:ascii="Times New Roman" w:hAnsi="Times New Roman" w:cs="Times New Roman"/>
        </w:rPr>
      </w:pPr>
    </w:p>
    <w:p w14:paraId="17247772">
      <w:pPr>
        <w:numPr>
          <w:ilvl w:val="0"/>
          <w:numId w:val="4"/>
        </w:numPr>
        <w:ind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kern w:val="0"/>
          <w:lang w:bidi="ar"/>
        </w:rPr>
        <w:t>合同业绩一</w:t>
      </w:r>
    </w:p>
    <w:p w14:paraId="6D07114D">
      <w:pPr>
        <w:numPr>
          <w:ilvl w:val="0"/>
          <w:numId w:val="4"/>
        </w:numPr>
        <w:ind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kern w:val="0"/>
          <w:lang w:bidi="ar"/>
        </w:rPr>
        <w:t>....</w:t>
      </w:r>
    </w:p>
    <w:p w14:paraId="1AE4D380">
      <w:pPr>
        <w:rPr>
          <w:rFonts w:hint="default" w:ascii="Times New Roman" w:hAnsi="Times New Roman" w:cs="Times New Roman"/>
        </w:rPr>
      </w:pPr>
    </w:p>
    <w:p w14:paraId="7B2CA602">
      <w:pPr>
        <w:rPr>
          <w:rFonts w:hint="default" w:ascii="Times New Roman" w:hAnsi="Times New Roman" w:cs="Times New Roman"/>
        </w:rPr>
      </w:pPr>
    </w:p>
    <w:p w14:paraId="64EB705F">
      <w:pPr>
        <w:rPr>
          <w:rFonts w:hint="default" w:ascii="Times New Roman" w:hAnsi="Times New Roman" w:cs="Times New Roman"/>
        </w:rPr>
      </w:pPr>
    </w:p>
    <w:p w14:paraId="480B2AB2">
      <w:pPr>
        <w:rPr>
          <w:rFonts w:hint="default" w:ascii="Times New Roman" w:hAnsi="Times New Roman" w:cs="Times New Roman"/>
        </w:rPr>
      </w:pPr>
    </w:p>
    <w:p w14:paraId="404EEFD6">
      <w:pPr>
        <w:rPr>
          <w:rFonts w:hint="default" w:ascii="Times New Roman" w:hAnsi="Times New Roman" w:cs="Times New Roman"/>
        </w:rPr>
      </w:pPr>
    </w:p>
    <w:p w14:paraId="2541D35D">
      <w:pPr>
        <w:rPr>
          <w:rFonts w:hint="default" w:ascii="Times New Roman" w:hAnsi="Times New Roman" w:cs="Times New Roman"/>
        </w:rPr>
      </w:pPr>
    </w:p>
    <w:p w14:paraId="637B87CE">
      <w:pPr>
        <w:rPr>
          <w:rFonts w:hint="default" w:ascii="Times New Roman" w:hAnsi="Times New Roman" w:cs="Times New Roman"/>
        </w:rPr>
      </w:pPr>
    </w:p>
    <w:p w14:paraId="3EAC7803">
      <w:pPr>
        <w:rPr>
          <w:rFonts w:hint="default" w:ascii="Times New Roman" w:hAnsi="Times New Roman" w:cs="Times New Roman"/>
        </w:rPr>
      </w:pPr>
    </w:p>
    <w:p w14:paraId="21133FA7">
      <w:pPr>
        <w:rPr>
          <w:rFonts w:hint="default" w:ascii="Times New Roman" w:hAnsi="Times New Roman" w:cs="Times New Roman"/>
        </w:rPr>
      </w:pPr>
    </w:p>
    <w:p w14:paraId="6DE76A1A">
      <w:pPr>
        <w:rPr>
          <w:rFonts w:hint="default" w:ascii="Times New Roman" w:hAnsi="Times New Roman" w:cs="Times New Roman"/>
        </w:rPr>
      </w:pPr>
    </w:p>
    <w:p w14:paraId="1A04E77F">
      <w:pPr>
        <w:rPr>
          <w:rFonts w:hint="default" w:ascii="Times New Roman" w:hAnsi="Times New Roman" w:cs="Times New Roman"/>
        </w:rPr>
      </w:pPr>
    </w:p>
    <w:p w14:paraId="238C3B13">
      <w:pPr>
        <w:rPr>
          <w:rFonts w:hint="default" w:ascii="Times New Roman" w:hAnsi="Times New Roman" w:cs="Times New Roman"/>
        </w:rPr>
      </w:pPr>
    </w:p>
    <w:p w14:paraId="46F6E51E">
      <w:pPr>
        <w:rPr>
          <w:rFonts w:hint="default" w:ascii="Times New Roman" w:hAnsi="Times New Roman" w:cs="Times New Roman"/>
        </w:rPr>
      </w:pPr>
    </w:p>
    <w:p w14:paraId="18E1B25F">
      <w:pPr>
        <w:rPr>
          <w:rFonts w:hint="default" w:ascii="Times New Roman" w:hAnsi="Times New Roman" w:cs="Times New Roman"/>
        </w:rPr>
      </w:pPr>
    </w:p>
    <w:p w14:paraId="7FB37284">
      <w:pPr>
        <w:rPr>
          <w:rFonts w:hint="default" w:ascii="Times New Roman" w:hAnsi="Times New Roman" w:cs="Times New Roman"/>
        </w:rPr>
      </w:pPr>
    </w:p>
    <w:p w14:paraId="1547C609">
      <w:pPr>
        <w:rPr>
          <w:rFonts w:hint="default" w:ascii="Times New Roman" w:hAnsi="Times New Roman" w:cs="Times New Roman"/>
        </w:rPr>
      </w:pPr>
    </w:p>
    <w:p w14:paraId="5E105A92">
      <w:pPr>
        <w:rPr>
          <w:rFonts w:hint="default" w:ascii="Times New Roman" w:hAnsi="Times New Roman" w:cs="Times New Roman"/>
        </w:rPr>
      </w:pPr>
    </w:p>
    <w:p w14:paraId="2C6E9E3D">
      <w:pPr>
        <w:rPr>
          <w:rFonts w:hint="default" w:ascii="Times New Roman" w:hAnsi="Times New Roman" w:cs="Times New Roman"/>
        </w:rPr>
      </w:pPr>
    </w:p>
    <w:p w14:paraId="2B75CFAE">
      <w:pPr>
        <w:rPr>
          <w:rFonts w:hint="default" w:ascii="Times New Roman" w:hAnsi="Times New Roman" w:cs="Times New Roman"/>
        </w:rPr>
      </w:pPr>
    </w:p>
    <w:p w14:paraId="1BC44569">
      <w:pPr>
        <w:rPr>
          <w:rFonts w:hint="default" w:ascii="Times New Roman" w:hAnsi="Times New Roman" w:cs="Times New Roman"/>
        </w:rPr>
      </w:pPr>
    </w:p>
    <w:p w14:paraId="59EA64B9">
      <w:pPr>
        <w:rPr>
          <w:rFonts w:hint="default" w:ascii="Times New Roman" w:hAnsi="Times New Roman" w:cs="Times New Roman"/>
        </w:rPr>
      </w:pPr>
    </w:p>
    <w:p w14:paraId="70ADEDD6">
      <w:pPr>
        <w:rPr>
          <w:rFonts w:hint="default" w:ascii="Times New Roman" w:hAnsi="Times New Roman" w:cs="Times New Roman"/>
        </w:rPr>
      </w:pPr>
    </w:p>
    <w:p w14:paraId="30130741">
      <w:pPr>
        <w:pStyle w:val="3"/>
        <w:ind w:firstLine="0" w:firstLineChars="0"/>
        <w:jc w:val="center"/>
        <w:rPr>
          <w:rFonts w:hint="default" w:ascii="Times New Roman" w:hAnsi="Times New Roman" w:cs="Times New Roman"/>
        </w:rPr>
      </w:pPr>
      <w:bookmarkStart w:id="27" w:name="_Toc3000"/>
      <w:bookmarkStart w:id="28" w:name="_Toc15495"/>
      <w:bookmarkStart w:id="29" w:name="_Toc24523"/>
      <w:bookmarkStart w:id="30" w:name="_Toc13111"/>
      <w:r>
        <w:rPr>
          <w:rFonts w:hint="default" w:ascii="Times New Roman" w:hAnsi="Times New Roman" w:cs="Times New Roman"/>
        </w:rPr>
        <w:t>六、</w:t>
      </w:r>
      <w:bookmarkEnd w:id="27"/>
      <w:bookmarkEnd w:id="28"/>
      <w:bookmarkEnd w:id="29"/>
      <w:bookmarkEnd w:id="30"/>
      <w:r>
        <w:rPr>
          <w:rFonts w:hint="default" w:ascii="Times New Roman" w:hAnsi="Times New Roman" w:cs="Times New Roman"/>
        </w:rPr>
        <w:t>技术方案</w:t>
      </w:r>
    </w:p>
    <w:p w14:paraId="7F63FFA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围绕响应人针对本项目核心技术人员投入、现场安装方案、安全保障方案、应供货保障措施</w:t>
      </w:r>
      <w:r>
        <w:rPr>
          <w:rFonts w:hint="eastAsia" w:ascii="Times New Roman" w:hAnsi="Times New Roman" w:cs="Times New Roman"/>
          <w:lang w:eastAsia="zh-CN"/>
        </w:rPr>
        <w:t>、</w:t>
      </w:r>
      <w:r>
        <w:rPr>
          <w:rFonts w:hint="eastAsia" w:ascii="Times New Roman" w:hAnsi="Times New Roman" w:cs="Times New Roman"/>
          <w:lang w:val="en-US" w:eastAsia="zh-CN"/>
        </w:rPr>
        <w:t>质量保修期限、质保响应时间</w:t>
      </w:r>
      <w:r>
        <w:rPr>
          <w:rFonts w:hint="default" w:ascii="Times New Roman" w:hAnsi="Times New Roman" w:cs="Times New Roman"/>
        </w:rPr>
        <w:t>等内容进行说明。</w:t>
      </w:r>
    </w:p>
    <w:p w14:paraId="6BEF4AD0">
      <w:pPr>
        <w:keepNext w:val="0"/>
        <w:keepLines w:val="0"/>
        <w:pageBreakBefore w:val="0"/>
        <w:wordWrap/>
        <w:topLinePunct w:val="0"/>
        <w:bidi w:val="0"/>
        <w:ind w:firstLine="0" w:firstLineChars="0"/>
        <w:jc w:val="center"/>
        <w:textAlignment w:val="auto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03CDB06">
      <w:pPr>
        <w:pStyle w:val="3"/>
        <w:ind w:firstLine="0" w:firstLineChars="0"/>
        <w:jc w:val="center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七、报价表</w:t>
      </w:r>
    </w:p>
    <w:p w14:paraId="59F583E5">
      <w:pPr>
        <w:bidi w:val="0"/>
        <w:ind w:left="0" w:leftChars="0" w:firstLine="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项目名称：                                     项目编号：</w:t>
      </w:r>
    </w:p>
    <w:tbl>
      <w:tblPr>
        <w:tblStyle w:val="18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1728"/>
        <w:gridCol w:w="4499"/>
        <w:gridCol w:w="756"/>
        <w:gridCol w:w="756"/>
        <w:gridCol w:w="1584"/>
        <w:gridCol w:w="1032"/>
        <w:gridCol w:w="1884"/>
        <w:gridCol w:w="962"/>
      </w:tblGrid>
      <w:tr w14:paraId="64FD5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" w:type="pct"/>
            <w:vAlign w:val="center"/>
          </w:tcPr>
          <w:p w14:paraId="4F398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610" w:type="pct"/>
            <w:vAlign w:val="center"/>
          </w:tcPr>
          <w:p w14:paraId="704D1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产品/服务名称</w:t>
            </w:r>
          </w:p>
        </w:tc>
        <w:tc>
          <w:tcPr>
            <w:tcW w:w="1588" w:type="pct"/>
            <w:vAlign w:val="center"/>
          </w:tcPr>
          <w:p w14:paraId="0373D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266" w:type="pct"/>
            <w:shd w:val="clear" w:color="auto" w:fill="auto"/>
            <w:vAlign w:val="center"/>
          </w:tcPr>
          <w:p w14:paraId="5460C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266" w:type="pct"/>
            <w:shd w:val="clear" w:color="auto" w:fill="auto"/>
            <w:vAlign w:val="center"/>
          </w:tcPr>
          <w:p w14:paraId="15D3D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数量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2EC28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不含税</w:t>
            </w:r>
          </w:p>
          <w:p w14:paraId="71DC4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059C7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税率</w:t>
            </w:r>
          </w:p>
          <w:p w14:paraId="2F29C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（%）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6D3D8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含税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单价</w:t>
            </w:r>
          </w:p>
          <w:p w14:paraId="52DFE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339" w:type="pct"/>
            <w:vAlign w:val="center"/>
          </w:tcPr>
          <w:p w14:paraId="26D65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5FEC3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" w:type="pct"/>
            <w:vAlign w:val="center"/>
          </w:tcPr>
          <w:p w14:paraId="36620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10" w:type="pct"/>
            <w:vAlign w:val="center"/>
          </w:tcPr>
          <w:p w14:paraId="4EA7B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服务器</w:t>
            </w:r>
          </w:p>
        </w:tc>
        <w:tc>
          <w:tcPr>
            <w:tcW w:w="1588" w:type="pct"/>
          </w:tcPr>
          <w:p w14:paraId="21EB4B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技术规格：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2U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单路标准机架式服务器</w:t>
            </w:r>
          </w:p>
          <w:p w14:paraId="0C13FB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highlight w:val="none"/>
                <w:u w:val="single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highlight w:val="none"/>
                <w:u w:val="single"/>
                <w:lang w:val="en-US" w:eastAsia="zh-CN" w:bidi="ar"/>
              </w:rPr>
              <w:t>CPU</w:t>
            </w:r>
            <w:r>
              <w:rPr>
                <w:rStyle w:val="31"/>
                <w:rFonts w:hint="default" w:ascii="Times New Roman" w:hAnsi="Times New Roman" w:eastAsia="仿宋" w:cs="Times New Roman"/>
                <w:highlight w:val="none"/>
                <w:u w:val="single"/>
                <w:lang w:val="en-US" w:eastAsia="zh-CN" w:bidi="ar"/>
              </w:rPr>
              <w:t>：1颗                                  （需填写cpu品牌及型号）</w:t>
            </w:r>
          </w:p>
          <w:p w14:paraId="6DE84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内存：配置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64G DDR4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，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根内存插槽，最大支持扩展至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256GB</w:t>
            </w:r>
          </w:p>
          <w:p w14:paraId="46CC62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硬盘：配置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2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块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1.2TB 10K 2.5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 xml:space="preserve">英寸 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SAS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盘，最高支持前置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3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块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3.5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寸（兼容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2.5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寸）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+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后置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块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2.5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寸热插拔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SATA/SAS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硬盘</w:t>
            </w:r>
          </w:p>
          <w:p w14:paraId="1BD683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阵列卡：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支持RAID 0/1/5/6/10/阵列模式，支持电容数据保护、阵列在线扩容、阵列级别迁移功能；</w:t>
            </w:r>
          </w:p>
          <w:p w14:paraId="314868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PCIE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扩展：支持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4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PCIE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插槽</w:t>
            </w:r>
          </w:p>
          <w:p w14:paraId="661A7B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网口：板载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2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个千兆电口，支持选配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10GbE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、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25GbE SFP+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等多种网络接口</w:t>
            </w:r>
          </w:p>
          <w:p w14:paraId="4C5801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其他接口：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1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个千兆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RJ-45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管理接口，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≥7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USB 3.0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接口，</w:t>
            </w:r>
            <w:r>
              <w:rPr>
                <w:rStyle w:val="32"/>
                <w:rFonts w:hint="eastAsia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支持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VGA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口。</w:t>
            </w:r>
          </w:p>
          <w:p w14:paraId="2472E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电源：配置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360W或以上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电源</w:t>
            </w:r>
          </w:p>
        </w:tc>
        <w:tc>
          <w:tcPr>
            <w:tcW w:w="266" w:type="pct"/>
            <w:vAlign w:val="center"/>
          </w:tcPr>
          <w:p w14:paraId="2FFA8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266" w:type="pct"/>
            <w:vAlign w:val="center"/>
          </w:tcPr>
          <w:p w14:paraId="495D9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559" w:type="pct"/>
            <w:vAlign w:val="center"/>
          </w:tcPr>
          <w:p w14:paraId="7C0F7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4" w:type="pct"/>
            <w:vAlign w:val="center"/>
          </w:tcPr>
          <w:p w14:paraId="59977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665" w:type="pct"/>
            <w:vAlign w:val="center"/>
          </w:tcPr>
          <w:p w14:paraId="6D1CC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9" w:type="pct"/>
            <w:vAlign w:val="center"/>
          </w:tcPr>
          <w:p w14:paraId="31D91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A64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9" w:type="pct"/>
            <w:vAlign w:val="center"/>
          </w:tcPr>
          <w:p w14:paraId="04B6A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10" w:type="pct"/>
            <w:vAlign w:val="center"/>
          </w:tcPr>
          <w:p w14:paraId="39AF0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交换机</w:t>
            </w:r>
          </w:p>
        </w:tc>
        <w:tc>
          <w:tcPr>
            <w:tcW w:w="4499" w:type="dxa"/>
            <w:vAlign w:val="center"/>
          </w:tcPr>
          <w:p w14:paraId="6A6425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lang w:val="en-US" w:eastAsia="zh-CN" w:bidi="ar"/>
              </w:rPr>
              <w:t>交换容量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lang w:val="en-US" w:eastAsia="zh-CN" w:bidi="ar"/>
              </w:rPr>
              <w:t>≥192Gbps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lang w:val="en-US" w:eastAsia="zh-CN" w:bidi="ar"/>
              </w:rPr>
              <w:t>，包转发率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lang w:val="en-US" w:eastAsia="zh-CN" w:bidi="ar"/>
              </w:rPr>
              <w:t>≥14.88Mpps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lang w:val="en-US" w:eastAsia="zh-CN" w:bidi="ar"/>
              </w:rPr>
              <w:t>，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≥</w:t>
            </w:r>
            <w:r>
              <w:rPr>
                <w:rStyle w:val="32"/>
                <w:rFonts w:hint="eastAsia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8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10/100/1000Mbps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自适应电口，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≥1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lang w:val="en-US" w:eastAsia="zh-CN" w:bidi="ar"/>
              </w:rPr>
              <w:t>SFP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lang w:val="en-US" w:eastAsia="zh-CN" w:bidi="ar"/>
              </w:rPr>
              <w:t>千兆光口；支持广播风暴抑制、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lang w:val="en-US" w:eastAsia="zh-CN" w:bidi="ar"/>
              </w:rPr>
              <w:t>MAC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lang w:val="en-US" w:eastAsia="zh-CN" w:bidi="ar"/>
              </w:rPr>
              <w:t>地址过滤、端口限速等功能</w:t>
            </w:r>
          </w:p>
        </w:tc>
        <w:tc>
          <w:tcPr>
            <w:tcW w:w="266" w:type="pct"/>
            <w:vAlign w:val="center"/>
          </w:tcPr>
          <w:p w14:paraId="74CCB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266" w:type="pct"/>
            <w:vAlign w:val="center"/>
          </w:tcPr>
          <w:p w14:paraId="62696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559" w:type="pct"/>
            <w:vAlign w:val="center"/>
          </w:tcPr>
          <w:p w14:paraId="75F74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4" w:type="pct"/>
            <w:vAlign w:val="center"/>
          </w:tcPr>
          <w:p w14:paraId="6EB66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665" w:type="pct"/>
            <w:vAlign w:val="center"/>
          </w:tcPr>
          <w:p w14:paraId="48F73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9" w:type="pct"/>
            <w:vAlign w:val="center"/>
          </w:tcPr>
          <w:p w14:paraId="79056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6405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9" w:type="pct"/>
            <w:vAlign w:val="center"/>
          </w:tcPr>
          <w:p w14:paraId="55EC1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10" w:type="pct"/>
            <w:vAlign w:val="center"/>
          </w:tcPr>
          <w:p w14:paraId="710ED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千兆交换机</w:t>
            </w:r>
          </w:p>
        </w:tc>
        <w:tc>
          <w:tcPr>
            <w:tcW w:w="4499" w:type="dxa"/>
            <w:vAlign w:val="center"/>
          </w:tcPr>
          <w:p w14:paraId="5B729D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千兆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POE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交换机</w:t>
            </w:r>
          </w:p>
          <w:p w14:paraId="25859E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提供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≥16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个千兆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PoE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电口和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≥2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个千兆光口</w:t>
            </w:r>
          </w:p>
          <w:p w14:paraId="71DD78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支持安防网络拓扑管理、端口管理，支持远程升级</w:t>
            </w:r>
          </w:p>
          <w:p w14:paraId="741D86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支持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6 KV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防浪涌（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PoE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口）</w:t>
            </w:r>
          </w:p>
          <w:p w14:paraId="642B8E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支持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PoE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输出功率管理，整机最大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PoE</w:t>
            </w:r>
            <w:r>
              <w:rPr>
                <w:rStyle w:val="31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输出功率</w:t>
            </w:r>
            <w:r>
              <w:rPr>
                <w:rStyle w:val="32"/>
                <w:rFonts w:hint="default" w:ascii="Times New Roman" w:hAnsi="Times New Roman" w:eastAsia="仿宋" w:cs="Times New Roman"/>
                <w:sz w:val="18"/>
                <w:szCs w:val="18"/>
                <w:highlight w:val="none"/>
                <w:lang w:val="en-US" w:eastAsia="zh-CN" w:bidi="ar"/>
              </w:rPr>
              <w:t>≥230 W</w:t>
            </w:r>
          </w:p>
          <w:p w14:paraId="704E8D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千兆网络接入设计、存储转发交换方式</w:t>
            </w:r>
          </w:p>
        </w:tc>
        <w:tc>
          <w:tcPr>
            <w:tcW w:w="266" w:type="pct"/>
            <w:vAlign w:val="center"/>
          </w:tcPr>
          <w:p w14:paraId="5A858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266" w:type="pct"/>
            <w:vAlign w:val="center"/>
          </w:tcPr>
          <w:p w14:paraId="477FE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59" w:type="pct"/>
            <w:vAlign w:val="center"/>
          </w:tcPr>
          <w:p w14:paraId="57621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4" w:type="pct"/>
            <w:vAlign w:val="center"/>
          </w:tcPr>
          <w:p w14:paraId="5B335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665" w:type="pct"/>
            <w:vAlign w:val="center"/>
          </w:tcPr>
          <w:p w14:paraId="52983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9" w:type="pct"/>
            <w:vAlign w:val="center"/>
          </w:tcPr>
          <w:p w14:paraId="0DBD9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F8EE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9" w:type="pct"/>
            <w:vAlign w:val="center"/>
          </w:tcPr>
          <w:p w14:paraId="638A2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610" w:type="pct"/>
            <w:vAlign w:val="center"/>
          </w:tcPr>
          <w:p w14:paraId="5586C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硬盘</w:t>
            </w:r>
          </w:p>
        </w:tc>
        <w:tc>
          <w:tcPr>
            <w:tcW w:w="4499" w:type="dxa"/>
            <w:vAlign w:val="center"/>
          </w:tcPr>
          <w:p w14:paraId="3A98EA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容量：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12TB，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外形规格：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3.5-inch，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接口类型：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SATA，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刻录技术：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CMR</w:t>
            </w:r>
          </w:p>
          <w:p w14:paraId="34700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转速：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7200RPM，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缓存：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512MB，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最大读取速度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≥265MB/s，，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接口传输速率（最大值）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≥6.0Gb/s，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加载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/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卸载周期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≥600,000</w:t>
            </w:r>
            <w:r>
              <w:rPr>
                <w:rStyle w:val="32"/>
                <w:rFonts w:hint="eastAsia" w:cs="Times New Roman"/>
                <w:lang w:val="en-US" w:eastAsia="zh-CN" w:bidi="ar"/>
              </w:rPr>
              <w:t>小时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，MTBF≥2,500,000</w:t>
            </w:r>
            <w:r>
              <w:rPr>
                <w:rStyle w:val="32"/>
                <w:rFonts w:hint="eastAsia" w:cs="Times New Roman"/>
                <w:lang w:val="en-US" w:eastAsia="zh-CN" w:bidi="ar"/>
              </w:rPr>
              <w:t>小时，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年负荷（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TB/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年）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≥550TB</w:t>
            </w:r>
          </w:p>
        </w:tc>
        <w:tc>
          <w:tcPr>
            <w:tcW w:w="266" w:type="pct"/>
            <w:vAlign w:val="center"/>
          </w:tcPr>
          <w:p w14:paraId="3A1A4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266" w:type="pct"/>
            <w:vAlign w:val="center"/>
          </w:tcPr>
          <w:p w14:paraId="216A1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559" w:type="pct"/>
            <w:vAlign w:val="center"/>
          </w:tcPr>
          <w:p w14:paraId="5C857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4" w:type="pct"/>
            <w:vAlign w:val="center"/>
          </w:tcPr>
          <w:p w14:paraId="28B7D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665" w:type="pct"/>
            <w:vAlign w:val="center"/>
          </w:tcPr>
          <w:p w14:paraId="17229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9" w:type="pct"/>
            <w:vAlign w:val="center"/>
          </w:tcPr>
          <w:p w14:paraId="0DBEC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6F12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9" w:type="pct"/>
            <w:vAlign w:val="center"/>
          </w:tcPr>
          <w:p w14:paraId="4A1E5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610" w:type="pct"/>
            <w:vAlign w:val="center"/>
          </w:tcPr>
          <w:p w14:paraId="11BAE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服务器</w:t>
            </w:r>
          </w:p>
        </w:tc>
        <w:tc>
          <w:tcPr>
            <w:tcW w:w="1588" w:type="pct"/>
          </w:tcPr>
          <w:p w14:paraId="149C7F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技术规格：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2U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单路标准机架式服务器</w:t>
            </w:r>
          </w:p>
          <w:p w14:paraId="117BE9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cs="Times New Roman"/>
                <w:u w:val="single"/>
                <w:lang w:val="en-US" w:eastAsia="zh-CN" w:bidi="ar"/>
              </w:rPr>
              <w:t>CPU:</w:t>
            </w:r>
            <w:r>
              <w:rPr>
                <w:rStyle w:val="31"/>
                <w:rFonts w:hint="default" w:ascii="Times New Roman" w:hAnsi="Times New Roman" w:eastAsia="仿宋" w:cs="Times New Roman"/>
                <w:u w:val="single"/>
                <w:lang w:val="en-US" w:eastAsia="zh-CN" w:bidi="ar"/>
              </w:rPr>
              <w:t>1颗                                  （需填写cpu品牌及型号）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核数≥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16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核，线程数≥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32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，频率≥2.5GHz，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TDP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≥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135W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，末级缓存容量≥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32MB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，支持内存的最高速率≥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5200 MHz</w:t>
            </w:r>
          </w:p>
          <w:p w14:paraId="225FEF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内存：配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128G DDR5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，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4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根内存插槽</w:t>
            </w:r>
          </w:p>
          <w:p w14:paraId="15BF21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硬盘：配置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块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480G SSD+2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块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4T 7.2K SATA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，前置最大可选支持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12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块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3.5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寸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(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兼容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2.5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寸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)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热插拔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SATA/SAS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硬盘，后置最大可选支持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块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2.5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寸热插拔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SATA/SAS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硬盘</w:t>
            </w:r>
          </w:p>
          <w:p w14:paraId="31E717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阵列卡：配置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块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SAS+HBA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卡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(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支持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RAID 0/1/10)</w:t>
            </w:r>
          </w:p>
          <w:p w14:paraId="004553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PCIE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扩展：支持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4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PCIe 4.0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扩展插槽</w:t>
            </w:r>
          </w:p>
          <w:p w14:paraId="268A93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网口：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个千兆电口，支持选配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10GbE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25GbE SFP+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等多种网络接口</w:t>
            </w:r>
          </w:p>
          <w:p w14:paraId="595EC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其他接口：≥1个千兆RJ-45管理接口，支持VGA,≥4个USB接口，支持Type-C Debug接口，电源：配置550W或以上电源</w:t>
            </w:r>
          </w:p>
        </w:tc>
        <w:tc>
          <w:tcPr>
            <w:tcW w:w="266" w:type="pct"/>
            <w:vAlign w:val="center"/>
          </w:tcPr>
          <w:p w14:paraId="1EBC7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266" w:type="pct"/>
            <w:vAlign w:val="center"/>
          </w:tcPr>
          <w:p w14:paraId="0CF52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59" w:type="pct"/>
            <w:vAlign w:val="center"/>
          </w:tcPr>
          <w:p w14:paraId="5AC0B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4" w:type="pct"/>
            <w:vAlign w:val="center"/>
          </w:tcPr>
          <w:p w14:paraId="08EF2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665" w:type="pct"/>
            <w:vAlign w:val="center"/>
          </w:tcPr>
          <w:p w14:paraId="6778E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9" w:type="pct"/>
            <w:vAlign w:val="center"/>
          </w:tcPr>
          <w:p w14:paraId="1ACB0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68CB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9" w:type="pct"/>
            <w:vAlign w:val="center"/>
          </w:tcPr>
          <w:p w14:paraId="1CD2D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610" w:type="pct"/>
            <w:vAlign w:val="center"/>
          </w:tcPr>
          <w:p w14:paraId="5A02D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微型计算机</w:t>
            </w:r>
          </w:p>
        </w:tc>
        <w:tc>
          <w:tcPr>
            <w:tcW w:w="1588" w:type="pct"/>
          </w:tcPr>
          <w:p w14:paraId="38A7C6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CPU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i7-12700(12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核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/2.1GHz)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；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12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核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20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线程或以上，内存：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16GB，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固态硬盘：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256G SSD，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机械硬盘：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2T HDD，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扩展接口：支持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4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SATA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接口，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M.2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接口，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PCIE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×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16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插槽，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PCIE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×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插槽，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10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USB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接口，其中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4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USB3.0，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显示器：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23.8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英寸或以上</w:t>
            </w:r>
          </w:p>
          <w:p w14:paraId="7C22E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显卡：独立显卡，显存容量≥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2GB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，独立显卡接口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HDMI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，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VGA，需要配置键盘鼠标</w:t>
            </w:r>
          </w:p>
        </w:tc>
        <w:tc>
          <w:tcPr>
            <w:tcW w:w="266" w:type="pct"/>
            <w:vAlign w:val="center"/>
          </w:tcPr>
          <w:p w14:paraId="5FB63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266" w:type="pct"/>
            <w:vAlign w:val="center"/>
          </w:tcPr>
          <w:p w14:paraId="03431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59" w:type="pct"/>
            <w:vAlign w:val="center"/>
          </w:tcPr>
          <w:p w14:paraId="36753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4" w:type="pct"/>
            <w:vAlign w:val="center"/>
          </w:tcPr>
          <w:p w14:paraId="14009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665" w:type="pct"/>
            <w:vAlign w:val="center"/>
          </w:tcPr>
          <w:p w14:paraId="6F4E3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9" w:type="pct"/>
            <w:vAlign w:val="center"/>
          </w:tcPr>
          <w:p w14:paraId="7C431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9FB3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9" w:type="pct"/>
            <w:vAlign w:val="center"/>
          </w:tcPr>
          <w:p w14:paraId="145CB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610" w:type="pct"/>
            <w:vAlign w:val="center"/>
          </w:tcPr>
          <w:p w14:paraId="5F795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下一代防火墙</w:t>
            </w:r>
          </w:p>
        </w:tc>
        <w:tc>
          <w:tcPr>
            <w:tcW w:w="1588" w:type="pct"/>
          </w:tcPr>
          <w:p w14:paraId="708A4E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1U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机型，冗余电源，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SSD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硬盘≥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480G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，接口不少于：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1*MGMT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（管理口）、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16*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千兆电接口、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8*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千兆光接口、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4*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万兆光接口。至少包含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15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个并发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SSLVPN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用户授权。</w:t>
            </w:r>
          </w:p>
          <w:p w14:paraId="6005F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网络层吞吐量≥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10G,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应用层吞吐量≥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3G,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最大并发连接数≥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1000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万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,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新建连接数≥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50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万。三年维保，包含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IPS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AV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模块及特征库更新</w:t>
            </w:r>
          </w:p>
        </w:tc>
        <w:tc>
          <w:tcPr>
            <w:tcW w:w="266" w:type="pct"/>
            <w:vAlign w:val="center"/>
          </w:tcPr>
          <w:p w14:paraId="663F5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266" w:type="pct"/>
            <w:vAlign w:val="center"/>
          </w:tcPr>
          <w:p w14:paraId="693C5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559" w:type="pct"/>
            <w:vAlign w:val="center"/>
          </w:tcPr>
          <w:p w14:paraId="68CEC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4" w:type="pct"/>
            <w:vAlign w:val="center"/>
          </w:tcPr>
          <w:p w14:paraId="6232F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665" w:type="pct"/>
            <w:vAlign w:val="center"/>
          </w:tcPr>
          <w:p w14:paraId="19BE6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9" w:type="pct"/>
            <w:vAlign w:val="center"/>
          </w:tcPr>
          <w:p w14:paraId="15517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EA9F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9" w:type="pct"/>
            <w:vAlign w:val="center"/>
          </w:tcPr>
          <w:p w14:paraId="169EC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610" w:type="pct"/>
            <w:vAlign w:val="center"/>
          </w:tcPr>
          <w:p w14:paraId="48F64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  <w:t>网络安全软件</w:t>
            </w:r>
          </w:p>
        </w:tc>
        <w:tc>
          <w:tcPr>
            <w:tcW w:w="1588" w:type="pct"/>
          </w:tcPr>
          <w:p w14:paraId="3B52A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使用期限5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年</w:t>
            </w:r>
          </w:p>
        </w:tc>
        <w:tc>
          <w:tcPr>
            <w:tcW w:w="266" w:type="pct"/>
            <w:vAlign w:val="center"/>
          </w:tcPr>
          <w:p w14:paraId="5E801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项</w:t>
            </w:r>
          </w:p>
        </w:tc>
        <w:tc>
          <w:tcPr>
            <w:tcW w:w="266" w:type="pct"/>
            <w:vAlign w:val="center"/>
          </w:tcPr>
          <w:p w14:paraId="26CAE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59" w:type="pct"/>
            <w:vAlign w:val="center"/>
          </w:tcPr>
          <w:p w14:paraId="0D8E7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4" w:type="pct"/>
            <w:vAlign w:val="center"/>
          </w:tcPr>
          <w:p w14:paraId="041B5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665" w:type="pct"/>
            <w:vAlign w:val="center"/>
          </w:tcPr>
          <w:p w14:paraId="39C57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9" w:type="pct"/>
            <w:vAlign w:val="center"/>
          </w:tcPr>
          <w:p w14:paraId="0369A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600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9" w:type="pct"/>
            <w:vAlign w:val="center"/>
          </w:tcPr>
          <w:p w14:paraId="1CF5F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610" w:type="pct"/>
            <w:vAlign w:val="center"/>
          </w:tcPr>
          <w:p w14:paraId="5D975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交换机</w:t>
            </w:r>
          </w:p>
        </w:tc>
        <w:tc>
          <w:tcPr>
            <w:tcW w:w="1588" w:type="pct"/>
          </w:tcPr>
          <w:p w14:paraId="0B9B3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 xml:space="preserve">24 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 xml:space="preserve">个 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 xml:space="preserve">10/100/1000BASE-T 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端口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(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 xml:space="preserve">含 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8 Combo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口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 xml:space="preserve">),4 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 xml:space="preserve">个 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 xml:space="preserve">1G/10GBASE-X SFP Plus 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端口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 xml:space="preserve">,1 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 xml:space="preserve">个 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Slot</w:t>
            </w:r>
          </w:p>
        </w:tc>
        <w:tc>
          <w:tcPr>
            <w:tcW w:w="266" w:type="pct"/>
            <w:vAlign w:val="center"/>
          </w:tcPr>
          <w:p w14:paraId="5C04F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266" w:type="pct"/>
            <w:vAlign w:val="center"/>
          </w:tcPr>
          <w:p w14:paraId="0DCDF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559" w:type="pct"/>
            <w:vAlign w:val="center"/>
          </w:tcPr>
          <w:p w14:paraId="11627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4" w:type="pct"/>
            <w:vAlign w:val="center"/>
          </w:tcPr>
          <w:p w14:paraId="7BBBD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665" w:type="pct"/>
            <w:vAlign w:val="center"/>
          </w:tcPr>
          <w:p w14:paraId="2B1FB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9" w:type="pct"/>
            <w:vAlign w:val="center"/>
          </w:tcPr>
          <w:p w14:paraId="35A06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3893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9" w:type="pct"/>
            <w:vAlign w:val="center"/>
          </w:tcPr>
          <w:p w14:paraId="3FE64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610" w:type="pct"/>
            <w:vAlign w:val="center"/>
          </w:tcPr>
          <w:p w14:paraId="2EE4E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交换机</w:t>
            </w:r>
          </w:p>
        </w:tc>
        <w:tc>
          <w:tcPr>
            <w:tcW w:w="1588" w:type="pct"/>
          </w:tcPr>
          <w:p w14:paraId="594F1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交换容量：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672Gbps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，转发性能：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144Mpps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，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24*10/100/1000BASE-T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电口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+4*1G/10G BASE-X SFP+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端口，内置单电源，无风扇自然散热，支持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IPv4/IPv6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静态路由、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RIP/RIPng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OSPF v2/v3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协议，内置及图形化操作的方式，可实现对网络的统一运维及管理</w:t>
            </w:r>
          </w:p>
        </w:tc>
        <w:tc>
          <w:tcPr>
            <w:tcW w:w="266" w:type="pct"/>
            <w:vAlign w:val="center"/>
          </w:tcPr>
          <w:p w14:paraId="56F6D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266" w:type="pct"/>
            <w:vAlign w:val="center"/>
          </w:tcPr>
          <w:p w14:paraId="40417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559" w:type="pct"/>
            <w:vAlign w:val="center"/>
          </w:tcPr>
          <w:p w14:paraId="2ED6B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4" w:type="pct"/>
            <w:vAlign w:val="center"/>
          </w:tcPr>
          <w:p w14:paraId="25A1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665" w:type="pct"/>
            <w:vAlign w:val="center"/>
          </w:tcPr>
          <w:p w14:paraId="6C316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9" w:type="pct"/>
            <w:vAlign w:val="center"/>
          </w:tcPr>
          <w:p w14:paraId="2BFE6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FC26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9" w:type="pct"/>
            <w:vAlign w:val="center"/>
          </w:tcPr>
          <w:p w14:paraId="7054A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610" w:type="pct"/>
            <w:vAlign w:val="center"/>
          </w:tcPr>
          <w:p w14:paraId="096C7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UPS主机</w:t>
            </w:r>
          </w:p>
        </w:tc>
        <w:tc>
          <w:tcPr>
            <w:tcW w:w="1588" w:type="pct"/>
          </w:tcPr>
          <w:p w14:paraId="05D1F5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额定容量：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10000VA / 9000W</w:t>
            </w:r>
          </w:p>
          <w:p w14:paraId="2BA179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输入频率范围：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50/60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±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10%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（自适应）</w:t>
            </w:r>
          </w:p>
          <w:p w14:paraId="070188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输入功率因数：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&gt;0.99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（满载）</w:t>
            </w:r>
          </w:p>
          <w:p w14:paraId="0A7FE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输出电压：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208/220/230/240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±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1%</w:t>
            </w:r>
          </w:p>
          <w:p w14:paraId="68C2D9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输出频率：市电模式：与电网同步；电池模式：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50/60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±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0.2%</w:t>
            </w:r>
          </w:p>
          <w:p w14:paraId="42E49D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整机效率：最高可达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95%</w:t>
            </w:r>
          </w:p>
          <w:p w14:paraId="092EAC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过载能力：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100%-130%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：过载维持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1min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；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130%-150%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：过载维持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1s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；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150%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以上：过载维持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200ms</w:t>
            </w:r>
          </w:p>
          <w:p w14:paraId="21AFC4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电池电压：</w:t>
            </w:r>
            <w:r>
              <w:rPr>
                <w:rStyle w:val="32"/>
                <w:rFonts w:hint="eastAsia" w:cs="Times New Roman"/>
                <w:lang w:val="en-US" w:eastAsia="zh-CN" w:bidi="ar"/>
              </w:rPr>
              <w:t>384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 xml:space="preserve">V  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（默认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32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节）</w:t>
            </w:r>
          </w:p>
          <w:p w14:paraId="1AD64E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输出方式（塔式）：输出插座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+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接线排</w:t>
            </w:r>
          </w:p>
          <w:p w14:paraId="078F7C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通信功能：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RS232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USB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SNMP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、干接点、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EPO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等</w:t>
            </w:r>
          </w:p>
          <w:p w14:paraId="783451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保护功能：电池欠压保护、过载保护、短路保护、过温保护、输入过压保护</w:t>
            </w:r>
          </w:p>
          <w:p w14:paraId="5DFC0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告警功能：电池低压、市电异常、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UPS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故障、输出过载、输出短路</w:t>
            </w:r>
          </w:p>
        </w:tc>
        <w:tc>
          <w:tcPr>
            <w:tcW w:w="266" w:type="pct"/>
            <w:vAlign w:val="center"/>
          </w:tcPr>
          <w:p w14:paraId="47A94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266" w:type="pct"/>
            <w:vAlign w:val="center"/>
          </w:tcPr>
          <w:p w14:paraId="361DF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59" w:type="pct"/>
            <w:vAlign w:val="center"/>
          </w:tcPr>
          <w:p w14:paraId="10FBD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4" w:type="pct"/>
            <w:vAlign w:val="center"/>
          </w:tcPr>
          <w:p w14:paraId="3A5CE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665" w:type="pct"/>
            <w:vAlign w:val="center"/>
          </w:tcPr>
          <w:p w14:paraId="3C7DE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9" w:type="pct"/>
            <w:vAlign w:val="center"/>
          </w:tcPr>
          <w:p w14:paraId="3D42B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31F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39" w:type="pct"/>
            <w:vAlign w:val="center"/>
          </w:tcPr>
          <w:p w14:paraId="499E1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610" w:type="pct"/>
            <w:vAlign w:val="center"/>
          </w:tcPr>
          <w:p w14:paraId="3BE6A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12V阀控式铅酸蓄电池</w:t>
            </w:r>
          </w:p>
        </w:tc>
        <w:tc>
          <w:tcPr>
            <w:tcW w:w="1588" w:type="pct"/>
          </w:tcPr>
          <w:p w14:paraId="0CF282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标称电压：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12V</w:t>
            </w:r>
          </w:p>
          <w:p w14:paraId="2D2F1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额定容量：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100Ah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（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C10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，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1.8V/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单体、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25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℃）</w:t>
            </w:r>
          </w:p>
        </w:tc>
        <w:tc>
          <w:tcPr>
            <w:tcW w:w="266" w:type="pct"/>
            <w:vAlign w:val="center"/>
          </w:tcPr>
          <w:p w14:paraId="61947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块</w:t>
            </w:r>
          </w:p>
        </w:tc>
        <w:tc>
          <w:tcPr>
            <w:tcW w:w="266" w:type="pct"/>
            <w:vAlign w:val="center"/>
          </w:tcPr>
          <w:p w14:paraId="743AF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559" w:type="pct"/>
            <w:vAlign w:val="center"/>
          </w:tcPr>
          <w:p w14:paraId="00A58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4" w:type="pct"/>
            <w:vAlign w:val="center"/>
          </w:tcPr>
          <w:p w14:paraId="1418B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665" w:type="pct"/>
            <w:vAlign w:val="center"/>
          </w:tcPr>
          <w:p w14:paraId="3323C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9" w:type="pct"/>
            <w:vAlign w:val="center"/>
          </w:tcPr>
          <w:p w14:paraId="15E6F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4507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339" w:type="pct"/>
            <w:vMerge w:val="restart"/>
            <w:vAlign w:val="center"/>
          </w:tcPr>
          <w:p w14:paraId="2FE5E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4660" w:type="pct"/>
            <w:gridSpan w:val="8"/>
          </w:tcPr>
          <w:p w14:paraId="5575D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不含税总价：¥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元，大写：</w:t>
            </w:r>
          </w:p>
        </w:tc>
      </w:tr>
      <w:tr w14:paraId="2496E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339" w:type="pct"/>
            <w:vMerge w:val="continue"/>
          </w:tcPr>
          <w:p w14:paraId="1D214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60" w:type="pct"/>
            <w:gridSpan w:val="8"/>
          </w:tcPr>
          <w:p w14:paraId="7A0BF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税金：¥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元，大写：</w:t>
            </w:r>
          </w:p>
        </w:tc>
      </w:tr>
      <w:tr w14:paraId="7274D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39" w:type="pct"/>
            <w:vMerge w:val="continue"/>
          </w:tcPr>
          <w:p w14:paraId="1C1A5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60" w:type="pct"/>
            <w:gridSpan w:val="8"/>
          </w:tcPr>
          <w:p w14:paraId="17123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含税总价：¥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元，大写：</w:t>
            </w:r>
          </w:p>
        </w:tc>
      </w:tr>
    </w:tbl>
    <w:p w14:paraId="25D575C8">
      <w:pPr>
        <w:ind w:firstLine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备注：</w:t>
      </w:r>
    </w:p>
    <w:p w14:paraId="04AEC0FF">
      <w:pPr>
        <w:numPr>
          <w:ilvl w:val="0"/>
          <w:numId w:val="5"/>
        </w:numPr>
        <w:spacing w:line="240" w:lineRule="auto"/>
        <w:ind w:firstLine="0" w:firstLineChars="0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本报价包含货物/服务、运输、安装、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辅材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机柜、UPS电池架、</w:t>
      </w:r>
      <w:r>
        <w:rPr>
          <w:rFonts w:hint="default" w:ascii="Times New Roman" w:hAnsi="Times New Roman" w:cs="Times New Roman"/>
          <w:sz w:val="24"/>
          <w:szCs w:val="24"/>
        </w:rPr>
        <w:t>税费等所有费用，不再额外收取任何费用；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2.发票为增值税专用发票，税率为13%。</w:t>
      </w:r>
    </w:p>
    <w:p w14:paraId="3AB944EA">
      <w:pPr>
        <w:wordWrap w:val="0"/>
        <w:spacing w:line="240" w:lineRule="auto"/>
        <w:ind w:firstLine="0" w:firstLineChars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 xml:space="preserve">      供应商（盖章）：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            </w:t>
      </w:r>
      <w:r>
        <w:rPr>
          <w:rFonts w:hint="default" w:ascii="Times New Roman" w:hAnsi="Times New Roman" w:cs="Times New Roman"/>
          <w:sz w:val="24"/>
          <w:szCs w:val="24"/>
        </w:rPr>
        <w:t xml:space="preserve">    </w:t>
      </w:r>
    </w:p>
    <w:p w14:paraId="51AA0891">
      <w:pPr>
        <w:wordWrap w:val="0"/>
        <w:spacing w:line="240" w:lineRule="auto"/>
        <w:ind w:firstLine="0" w:firstLineChars="0"/>
        <w:jc w:val="center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                       </w:t>
      </w:r>
      <w:r>
        <w:rPr>
          <w:rFonts w:hint="default" w:ascii="Times New Roman" w:hAnsi="Times New Roman" w:cs="Times New Roman"/>
          <w:sz w:val="24"/>
          <w:szCs w:val="24"/>
        </w:rPr>
        <w:t>法定代表人（或授权代表）（签字）：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                    202X年X月X日</w:t>
      </w:r>
    </w:p>
    <w:p w14:paraId="094C289B">
      <w:pPr>
        <w:pStyle w:val="27"/>
        <w:bidi w:val="0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1743A8"/>
    <w:multiLevelType w:val="singleLevel"/>
    <w:tmpl w:val="A01743A8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D6A464FA"/>
    <w:multiLevelType w:val="multilevel"/>
    <w:tmpl w:val="D6A464FA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126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F79DE31B"/>
    <w:multiLevelType w:val="multilevel"/>
    <w:tmpl w:val="F79DE31B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484620A"/>
    <w:multiLevelType w:val="singleLevel"/>
    <w:tmpl w:val="0484620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777E058"/>
    <w:multiLevelType w:val="singleLevel"/>
    <w:tmpl w:val="7777E058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17466"/>
    <w:rsid w:val="01AB0DAE"/>
    <w:rsid w:val="02206CF5"/>
    <w:rsid w:val="025F4793"/>
    <w:rsid w:val="02A049AE"/>
    <w:rsid w:val="02AA72D0"/>
    <w:rsid w:val="02BC0BA9"/>
    <w:rsid w:val="02E60F10"/>
    <w:rsid w:val="044E3236"/>
    <w:rsid w:val="04DC45D5"/>
    <w:rsid w:val="05481E85"/>
    <w:rsid w:val="05D84EA4"/>
    <w:rsid w:val="074B09B1"/>
    <w:rsid w:val="083B705D"/>
    <w:rsid w:val="08B9348E"/>
    <w:rsid w:val="091C5D7B"/>
    <w:rsid w:val="09222ADB"/>
    <w:rsid w:val="0970184A"/>
    <w:rsid w:val="09A61CE0"/>
    <w:rsid w:val="0ACF48BC"/>
    <w:rsid w:val="0AF27262"/>
    <w:rsid w:val="0B511399"/>
    <w:rsid w:val="0B5D6819"/>
    <w:rsid w:val="0BFC1637"/>
    <w:rsid w:val="0C9A5358"/>
    <w:rsid w:val="0CFD2CAE"/>
    <w:rsid w:val="0D17362A"/>
    <w:rsid w:val="0D3478A2"/>
    <w:rsid w:val="0DC910FD"/>
    <w:rsid w:val="0E7F6B29"/>
    <w:rsid w:val="0EA63276"/>
    <w:rsid w:val="10DA6DDD"/>
    <w:rsid w:val="11023F92"/>
    <w:rsid w:val="12274A70"/>
    <w:rsid w:val="12A21262"/>
    <w:rsid w:val="12B5424B"/>
    <w:rsid w:val="1326489D"/>
    <w:rsid w:val="13827391"/>
    <w:rsid w:val="13C904B8"/>
    <w:rsid w:val="15621639"/>
    <w:rsid w:val="15DC6CEA"/>
    <w:rsid w:val="16230F3F"/>
    <w:rsid w:val="17DB67AF"/>
    <w:rsid w:val="194334E4"/>
    <w:rsid w:val="1C2B7608"/>
    <w:rsid w:val="1C9E2455"/>
    <w:rsid w:val="1CFC21FD"/>
    <w:rsid w:val="1E8970F8"/>
    <w:rsid w:val="1F000954"/>
    <w:rsid w:val="21795977"/>
    <w:rsid w:val="22DD5387"/>
    <w:rsid w:val="23081ADD"/>
    <w:rsid w:val="239B7B4C"/>
    <w:rsid w:val="245A4C34"/>
    <w:rsid w:val="24CC0649"/>
    <w:rsid w:val="25071D1A"/>
    <w:rsid w:val="25493054"/>
    <w:rsid w:val="25603D51"/>
    <w:rsid w:val="25F862CC"/>
    <w:rsid w:val="279143F1"/>
    <w:rsid w:val="28324497"/>
    <w:rsid w:val="29AE7AF9"/>
    <w:rsid w:val="29CF5EA0"/>
    <w:rsid w:val="2A29172B"/>
    <w:rsid w:val="2A5560E4"/>
    <w:rsid w:val="2B3A3CA1"/>
    <w:rsid w:val="2B4C35E9"/>
    <w:rsid w:val="2D15504E"/>
    <w:rsid w:val="2EA75CC0"/>
    <w:rsid w:val="2EDD15E2"/>
    <w:rsid w:val="2F8E3FFD"/>
    <w:rsid w:val="2FD93410"/>
    <w:rsid w:val="307857E5"/>
    <w:rsid w:val="3355074A"/>
    <w:rsid w:val="35AA736B"/>
    <w:rsid w:val="35C66F06"/>
    <w:rsid w:val="35CD71B8"/>
    <w:rsid w:val="36072229"/>
    <w:rsid w:val="366A7B34"/>
    <w:rsid w:val="390C7ABE"/>
    <w:rsid w:val="394C1B0E"/>
    <w:rsid w:val="3CA13886"/>
    <w:rsid w:val="3DFA4DBC"/>
    <w:rsid w:val="3E747A08"/>
    <w:rsid w:val="3EB036AD"/>
    <w:rsid w:val="40A24FE6"/>
    <w:rsid w:val="42696E33"/>
    <w:rsid w:val="468F1A7D"/>
    <w:rsid w:val="46DA542E"/>
    <w:rsid w:val="47FA1A52"/>
    <w:rsid w:val="483D231C"/>
    <w:rsid w:val="48C017E8"/>
    <w:rsid w:val="49615840"/>
    <w:rsid w:val="4A326FB0"/>
    <w:rsid w:val="4B076209"/>
    <w:rsid w:val="4C916C2A"/>
    <w:rsid w:val="4DB27101"/>
    <w:rsid w:val="518E5997"/>
    <w:rsid w:val="524151D7"/>
    <w:rsid w:val="52E87641"/>
    <w:rsid w:val="53004672"/>
    <w:rsid w:val="548B4641"/>
    <w:rsid w:val="55493D89"/>
    <w:rsid w:val="56C105BC"/>
    <w:rsid w:val="57F02FB7"/>
    <w:rsid w:val="5BAA7871"/>
    <w:rsid w:val="5C741C2D"/>
    <w:rsid w:val="5DE60909"/>
    <w:rsid w:val="5EC002EB"/>
    <w:rsid w:val="601C2131"/>
    <w:rsid w:val="603E333C"/>
    <w:rsid w:val="604F281C"/>
    <w:rsid w:val="60D01782"/>
    <w:rsid w:val="633C7011"/>
    <w:rsid w:val="646E1CCD"/>
    <w:rsid w:val="649D65C5"/>
    <w:rsid w:val="656E18E4"/>
    <w:rsid w:val="660367E5"/>
    <w:rsid w:val="669B4E8C"/>
    <w:rsid w:val="679E7807"/>
    <w:rsid w:val="67B0335F"/>
    <w:rsid w:val="67B95D2E"/>
    <w:rsid w:val="6834329F"/>
    <w:rsid w:val="69006D22"/>
    <w:rsid w:val="691E0688"/>
    <w:rsid w:val="6B8C134B"/>
    <w:rsid w:val="6F0A6A92"/>
    <w:rsid w:val="6F8F7748"/>
    <w:rsid w:val="6FF03AFE"/>
    <w:rsid w:val="704A2F79"/>
    <w:rsid w:val="71E47B6C"/>
    <w:rsid w:val="72D26738"/>
    <w:rsid w:val="743F7D40"/>
    <w:rsid w:val="75316B0E"/>
    <w:rsid w:val="76170DCC"/>
    <w:rsid w:val="77F24622"/>
    <w:rsid w:val="78F121D4"/>
    <w:rsid w:val="790318C9"/>
    <w:rsid w:val="7AF61F32"/>
    <w:rsid w:val="7B0C36B5"/>
    <w:rsid w:val="7BE525EA"/>
    <w:rsid w:val="7C837AC1"/>
    <w:rsid w:val="7E3B78F6"/>
    <w:rsid w:val="7E46233B"/>
    <w:rsid w:val="7EEC0AC6"/>
    <w:rsid w:val="7F766C02"/>
    <w:rsid w:val="7FEC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562" w:firstLineChars="20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22"/>
    <w:qFormat/>
    <w:uiPriority w:val="0"/>
    <w:pPr>
      <w:spacing w:before="0" w:beforeAutospacing="0" w:after="0" w:afterAutospacing="0"/>
      <w:jc w:val="left"/>
      <w:outlineLvl w:val="0"/>
    </w:pPr>
    <w:rPr>
      <w:rFonts w:hint="eastAsia" w:ascii="宋体" w:hAnsi="宋体" w:eastAsia="黑体" w:cs="Times New Roman"/>
      <w:kern w:val="44"/>
      <w:sz w:val="32"/>
      <w:szCs w:val="32"/>
      <w:lang w:bidi="ar"/>
    </w:rPr>
  </w:style>
  <w:style w:type="paragraph" w:styleId="4">
    <w:name w:val="heading 2"/>
    <w:basedOn w:val="1"/>
    <w:next w:val="1"/>
    <w:link w:val="23"/>
    <w:semiHidden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eastAsia" w:ascii="Times New Roman" w:hAnsi="Times New Roman" w:eastAsia="楷体_GB2312" w:cs="Times New Roman"/>
      <w:kern w:val="0"/>
      <w:lang w:bidi="ar"/>
    </w:rPr>
  </w:style>
  <w:style w:type="paragraph" w:styleId="5">
    <w:name w:val="heading 3"/>
    <w:basedOn w:val="1"/>
    <w:next w:val="1"/>
    <w:link w:val="24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bidi="ar"/>
    </w:rPr>
  </w:style>
  <w:style w:type="paragraph" w:styleId="6">
    <w:name w:val="heading 4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3"/>
    </w:pPr>
    <w:rPr>
      <w:rFonts w:hint="eastAsia" w:eastAsia="方正楷体_GB2312" w:cs="Times New Roman"/>
      <w:kern w:val="0"/>
      <w:lang w:bidi="ar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9">
    <w:name w:val="Default Paragraph Font"/>
    <w:unhideWhenUsed/>
    <w:qFormat/>
    <w:uiPriority w:val="1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562" w:firstLineChars="200"/>
    </w:pPr>
    <w:rPr>
      <w:rFonts w:ascii="Courier New" w:hAnsi="Courier New" w:eastAsia="宋体" w:cs="Courier New"/>
      <w:kern w:val="2"/>
      <w:sz w:val="24"/>
      <w:szCs w:val="24"/>
      <w:lang w:val="en-US" w:eastAsia="zh-CN" w:bidi="ar-SA"/>
    </w:rPr>
  </w:style>
  <w:style w:type="paragraph" w:styleId="12">
    <w:name w:val="index 5"/>
    <w:basedOn w:val="1"/>
    <w:next w:val="1"/>
    <w:qFormat/>
    <w:uiPriority w:val="0"/>
    <w:pPr>
      <w:ind w:left="800" w:leftChars="800" w:firstLine="0"/>
    </w:pPr>
  </w:style>
  <w:style w:type="paragraph" w:styleId="13">
    <w:name w:val="Body Text"/>
    <w:basedOn w:val="1"/>
    <w:qFormat/>
    <w:uiPriority w:val="0"/>
    <w:pPr>
      <w:spacing w:after="120" w:afterLines="0" w:afterAutospacing="0"/>
    </w:p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ascii="Times New Roman" w:hAnsi="Times New Roman"/>
      <w:sz w:val="18"/>
    </w:rPr>
  </w:style>
  <w:style w:type="paragraph" w:styleId="15">
    <w:name w:val="Normal (Web)"/>
    <w:basedOn w:val="1"/>
    <w:qFormat/>
    <w:uiPriority w:val="0"/>
    <w:pPr>
      <w:ind w:firstLine="640"/>
    </w:pPr>
    <w:rPr>
      <w:rFonts w:asciiTheme="minorHAnsi" w:hAnsiTheme="minorHAnsi" w:cstheme="minorBidi"/>
      <w:kern w:val="0"/>
      <w:sz w:val="24"/>
      <w:szCs w:val="22"/>
    </w:rPr>
  </w:style>
  <w:style w:type="paragraph" w:styleId="16">
    <w:name w:val="Body Text First Indent"/>
    <w:basedOn w:val="13"/>
    <w:qFormat/>
    <w:uiPriority w:val="0"/>
    <w:pPr>
      <w:ind w:firstLine="420" w:firstLineChars="100"/>
    </w:p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0"/>
    <w:rPr>
      <w:b/>
    </w:rPr>
  </w:style>
  <w:style w:type="character" w:styleId="21">
    <w:name w:val="Hyperlink"/>
    <w:basedOn w:val="19"/>
    <w:qFormat/>
    <w:uiPriority w:val="0"/>
    <w:rPr>
      <w:color w:val="0000FF"/>
      <w:u w:val="single"/>
    </w:rPr>
  </w:style>
  <w:style w:type="character" w:customStyle="1" w:styleId="22">
    <w:name w:val="标题 1 字符"/>
    <w:basedOn w:val="19"/>
    <w:link w:val="3"/>
    <w:qFormat/>
    <w:uiPriority w:val="9"/>
    <w:rPr>
      <w:rFonts w:ascii="Times New Roman" w:hAnsi="Times New Roman" w:eastAsia="黑体" w:cs="Times New Roman"/>
      <w:kern w:val="44"/>
      <w:sz w:val="32"/>
      <w:szCs w:val="32"/>
      <w:lang w:val="en-US" w:eastAsia="zh-CN" w:bidi="ar-SA"/>
    </w:rPr>
  </w:style>
  <w:style w:type="character" w:customStyle="1" w:styleId="23">
    <w:name w:val="标题 2 Char"/>
    <w:link w:val="4"/>
    <w:qFormat/>
    <w:uiPriority w:val="0"/>
    <w:rPr>
      <w:rFonts w:ascii="Times New Roman" w:hAnsi="Times New Roman" w:eastAsia="楷体_GB2312" w:cs="Times New Roman"/>
      <w:kern w:val="2"/>
      <w:sz w:val="32"/>
      <w:szCs w:val="32"/>
      <w:lang w:val="en-US" w:eastAsia="zh-CN" w:bidi="ar-SA"/>
    </w:rPr>
  </w:style>
  <w:style w:type="character" w:customStyle="1" w:styleId="24">
    <w:name w:val="标题 3 Char"/>
    <w:link w:val="5"/>
    <w:qFormat/>
    <w:uiPriority w:val="0"/>
    <w:rPr>
      <w:rFonts w:hint="eastAsia" w:ascii="宋体" w:hAnsi="宋体" w:eastAsia="宋体" w:cs="宋体"/>
      <w:b/>
      <w:sz w:val="32"/>
      <w:szCs w:val="32"/>
      <w:lang w:val="en-US" w:eastAsia="zh-CN" w:bidi="ar"/>
    </w:rPr>
  </w:style>
  <w:style w:type="paragraph" w:styleId="25">
    <w:name w:val="List Paragraph"/>
    <w:basedOn w:val="1"/>
    <w:autoRedefine/>
    <w:qFormat/>
    <w:uiPriority w:val="1"/>
    <w:pPr>
      <w:spacing w:line="240" w:lineRule="auto"/>
      <w:ind w:left="0" w:firstLine="0" w:firstLineChars="0"/>
    </w:pPr>
    <w:rPr>
      <w:rFonts w:eastAsia="仿宋" w:asciiTheme="minorAscii" w:hAnsiTheme="minorAscii"/>
      <w:sz w:val="24"/>
      <w:szCs w:val="22"/>
    </w:rPr>
  </w:style>
  <w:style w:type="paragraph" w:customStyle="1" w:styleId="26">
    <w:name w:val="表格"/>
    <w:basedOn w:val="1"/>
    <w:qFormat/>
    <w:uiPriority w:val="0"/>
    <w:pPr>
      <w:spacing w:line="240" w:lineRule="auto"/>
      <w:ind w:firstLine="0" w:firstLineChars="0"/>
    </w:pPr>
    <w:rPr>
      <w:sz w:val="24"/>
      <w:szCs w:val="24"/>
    </w:rPr>
  </w:style>
  <w:style w:type="paragraph" w:customStyle="1" w:styleId="27">
    <w:name w:val="注释"/>
    <w:basedOn w:val="1"/>
    <w:link w:val="28"/>
    <w:qFormat/>
    <w:uiPriority w:val="0"/>
    <w:pPr>
      <w:spacing w:line="240" w:lineRule="auto"/>
      <w:ind w:firstLine="0" w:firstLineChars="0"/>
    </w:pPr>
    <w:rPr>
      <w:rFonts w:ascii="Times New Roman" w:hAnsi="Times New Roman" w:eastAsia="楷体"/>
      <w:b/>
      <w:color w:val="FF0000"/>
      <w:sz w:val="24"/>
    </w:rPr>
  </w:style>
  <w:style w:type="character" w:customStyle="1" w:styleId="28">
    <w:name w:val="注释 Char"/>
    <w:link w:val="27"/>
    <w:qFormat/>
    <w:uiPriority w:val="0"/>
    <w:rPr>
      <w:rFonts w:ascii="Times New Roman" w:hAnsi="Times New Roman" w:eastAsia="楷体"/>
      <w:b/>
      <w:color w:val="FF0000"/>
      <w:sz w:val="24"/>
    </w:rPr>
  </w:style>
  <w:style w:type="paragraph" w:customStyle="1" w:styleId="29">
    <w:name w:val="Table Paragraph"/>
    <w:basedOn w:val="1"/>
    <w:qFormat/>
    <w:uiPriority w:val="1"/>
    <w:pPr>
      <w:ind w:firstLine="640"/>
    </w:pPr>
    <w:rPr>
      <w:rFonts w:asciiTheme="minorHAnsi" w:hAnsiTheme="minorHAnsi" w:cstheme="minorBidi"/>
      <w:kern w:val="0"/>
      <w:szCs w:val="22"/>
    </w:rPr>
  </w:style>
  <w:style w:type="paragraph" w:customStyle="1" w:styleId="30">
    <w:name w:val="Default"/>
    <w:basedOn w:val="2"/>
    <w:next w:val="12"/>
    <w:qFormat/>
    <w:uiPriority w:val="0"/>
    <w:pPr>
      <w:adjustRightInd w:val="0"/>
      <w:ind w:firstLine="0" w:firstLineChars="0"/>
    </w:pPr>
    <w:rPr>
      <w:rFonts w:ascii="仿宋_GB2312" w:hAnsi="Times New Roman" w:eastAsia="仿宋_GB2312" w:cs="仿宋_GB2312"/>
      <w:color w:val="000000"/>
    </w:rPr>
  </w:style>
  <w:style w:type="character" w:customStyle="1" w:styleId="31">
    <w:name w:val="font51"/>
    <w:basedOn w:val="19"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  <w:style w:type="character" w:customStyle="1" w:styleId="32">
    <w:name w:val="font71"/>
    <w:basedOn w:val="1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33">
    <w:name w:val="font41"/>
    <w:basedOn w:val="19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6643</Words>
  <Characters>8317</Characters>
  <Lines>0</Lines>
  <Paragraphs>0</Paragraphs>
  <TotalTime>0</TotalTime>
  <ScaleCrop>false</ScaleCrop>
  <LinksUpToDate>false</LinksUpToDate>
  <CharactersWithSpaces>9092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2025-03-21T13:34:00Z</dcterms:created>
  <dc:creator>lenovo</dc:creator>
  <cp:lastModifiedBy>付宇懋</cp:lastModifiedBy>
  <dcterms:modified xsi:type="dcterms:W3CDTF">2026-07-31T06:48:49Z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F0BAC974672A4DFEBC474DFE85727ACA_13</vt:lpwstr>
  </property>
  <property fmtid="{D5CDD505-2E9C-101B-9397-08002B2CF9AE}" pid="4" name="KSOTemplateDocerSaveRecord">
    <vt:lpwstr>eyJoZGlkIjoiZThmNjAzMWJlZjFkMmQwODUwMTJkYzE2ODFiYmFmYTciLCJ1c2VySWQiOiIzNzkwNDg0NzAifQ==</vt:lpwstr>
  </property>
</Properties>
</file>